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778B6" w:rsidRDefault="00571A29">
      <w:pPr>
        <w:pStyle w:val="af5"/>
        <w:spacing w:after="240"/>
        <w:ind w:left="1134" w:right="1984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89852" cy="383922"/>
                <wp:effectExtent l="0" t="0" r="0" b="0"/>
                <wp:wrapNone/>
                <wp:docPr id="1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89852" cy="383922"/>
                          <a:chOff x="-96990" y="369661"/>
                          <a:chExt cx="7728599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6088154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group id="group 0" o:spid="_x0000_s0000" style="position:absolute;z-index:251659264;o:allowoverlap:true;o:allowincell:true;mso-position-horizontal-relative:text;margin-left:-55.70pt;mso-position-horizontal:absolute;mso-position-vertical-relative:text;margin-top:-7.30pt;mso-position-vertical:absolute;width:597.63pt;height:30.23pt;mso-wrap-distance-left:9.00pt;mso-wrap-distance-top:0.00pt;mso-wrap-distance-right:9.00pt;mso-wrap-distance-bottom:0.00pt;" coordorigin="-969,3696" coordsize="77285,3843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" o:spid="_x0000_s1" type="#_x0000_t75" style="position:absolute;left:-969;top:3828;width:13074;height:3711;" stroked="false">
                  <v:path textboxrect="0,0,0,0"/>
                  <v:imagedata r:id="rId13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60881;top:3696;width:15434;height:3531;" stroked="false">
                  <v:path textboxrect="0,0,0,0"/>
                  <v:imagedata r:id="rId14" o:title=""/>
                </v:shape>
              </v:group>
            </w:pict>
          </mc:Fallback>
        </mc:AlternateContent>
      </w:r>
      <w:r>
        <w:rPr>
          <w:rFonts w:ascii="Arial" w:eastAsia="Calibri" w:hAnsi="Arial" w:cs="Arial"/>
          <w:color w:val="363194"/>
          <w:sz w:val="28"/>
          <w:szCs w:val="28"/>
        </w:rPr>
        <w:t>ЦЕНЫ</w:t>
      </w:r>
    </w:p>
    <w:p w:rsidR="00D778B6" w:rsidRDefault="00D778B6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D778B6" w:rsidRDefault="00571A29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1. Индексы цен и тарифов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конец периода, в процентах</w:t>
      </w:r>
    </w:p>
    <w:tbl>
      <w:tblPr>
        <w:tblStyle w:val="13"/>
        <w:tblW w:w="10745" w:type="dxa"/>
        <w:tblLayout w:type="fixed"/>
        <w:tblLook w:val="04A0" w:firstRow="1" w:lastRow="0" w:firstColumn="1" w:lastColumn="0" w:noHBand="0" w:noVBand="1"/>
      </w:tblPr>
      <w:tblGrid>
        <w:gridCol w:w="3482"/>
        <w:gridCol w:w="1019"/>
        <w:gridCol w:w="992"/>
        <w:gridCol w:w="993"/>
        <w:gridCol w:w="992"/>
        <w:gridCol w:w="1134"/>
        <w:gridCol w:w="992"/>
        <w:gridCol w:w="1141"/>
      </w:tblGrid>
      <w:tr w:rsidR="00D778B6">
        <w:trPr>
          <w:tblHeader/>
        </w:trPr>
        <w:tc>
          <w:tcPr>
            <w:tcW w:w="3482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04" w:type="dxa"/>
            <w:gridSpan w:val="3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D778B6" w:rsidRDefault="00571A29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133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083800">
        <w:trPr>
          <w:trHeight w:val="473"/>
          <w:tblHeader/>
        </w:trPr>
        <w:tc>
          <w:tcPr>
            <w:tcW w:w="3482" w:type="dxa"/>
            <w:vMerge/>
            <w:shd w:val="clear" w:color="auto" w:fill="EBEBEB"/>
          </w:tcPr>
          <w:p w:rsidR="00083800" w:rsidRDefault="0008380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19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992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октябрь 2024 г.</w:t>
            </w:r>
          </w:p>
        </w:tc>
        <w:tc>
          <w:tcPr>
            <w:tcW w:w="993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ноябрь 2024 г.</w:t>
            </w:r>
          </w:p>
        </w:tc>
        <w:tc>
          <w:tcPr>
            <w:tcW w:w="992" w:type="dxa"/>
            <w:shd w:val="clear" w:color="auto" w:fill="EBEBEB"/>
          </w:tcPr>
          <w:p w:rsidR="00083800" w:rsidRDefault="00083800" w:rsidP="000A3167">
            <w:pPr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083800" w:rsidRDefault="00083800" w:rsidP="000A3167">
            <w:pPr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 2023 г.</w:t>
            </w:r>
          </w:p>
        </w:tc>
        <w:tc>
          <w:tcPr>
            <w:tcW w:w="992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141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083800">
        <w:tc>
          <w:tcPr>
            <w:tcW w:w="3482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потребительских цен</w:t>
            </w:r>
          </w:p>
        </w:tc>
        <w:tc>
          <w:tcPr>
            <w:tcW w:w="101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3" w:type="dxa"/>
            <w:vAlign w:val="center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992" w:type="dxa"/>
            <w:vAlign w:val="center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108,3</w:t>
            </w:r>
          </w:p>
        </w:tc>
        <w:tc>
          <w:tcPr>
            <w:tcW w:w="1134" w:type="dxa"/>
            <w:vAlign w:val="center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106,8</w:t>
            </w:r>
          </w:p>
        </w:tc>
        <w:tc>
          <w:tcPr>
            <w:tcW w:w="1141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108,0</w:t>
            </w:r>
          </w:p>
        </w:tc>
      </w:tr>
      <w:tr w:rsidR="00083800">
        <w:tc>
          <w:tcPr>
            <w:tcW w:w="3482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цен производителей промышленных товаров*</w:t>
            </w:r>
          </w:p>
        </w:tc>
        <w:tc>
          <w:tcPr>
            <w:tcW w:w="101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98,9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98,8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133,4</w:t>
            </w:r>
          </w:p>
        </w:tc>
        <w:tc>
          <w:tcPr>
            <w:tcW w:w="1141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127,9</w:t>
            </w:r>
          </w:p>
        </w:tc>
      </w:tr>
      <w:tr w:rsidR="00083800">
        <w:tc>
          <w:tcPr>
            <w:tcW w:w="3482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цен производителей сельскохозяйственной продукции</w:t>
            </w:r>
          </w:p>
        </w:tc>
        <w:tc>
          <w:tcPr>
            <w:tcW w:w="101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116,9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99,2</w:t>
            </w:r>
          </w:p>
        </w:tc>
        <w:tc>
          <w:tcPr>
            <w:tcW w:w="1141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98,8</w:t>
            </w:r>
          </w:p>
        </w:tc>
      </w:tr>
      <w:tr w:rsidR="00083800">
        <w:tc>
          <w:tcPr>
            <w:tcW w:w="3482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Индексы цен на продукцию (затраты, услуги) инвестиционного назначения**</w:t>
            </w:r>
          </w:p>
        </w:tc>
        <w:tc>
          <w:tcPr>
            <w:tcW w:w="101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108,4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109,3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106,5</w:t>
            </w:r>
          </w:p>
        </w:tc>
        <w:tc>
          <w:tcPr>
            <w:tcW w:w="1141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106,7</w:t>
            </w:r>
          </w:p>
        </w:tc>
      </w:tr>
      <w:tr w:rsidR="00083800">
        <w:tc>
          <w:tcPr>
            <w:tcW w:w="3482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тарифов на грузовые перевозки</w:t>
            </w:r>
          </w:p>
        </w:tc>
        <w:tc>
          <w:tcPr>
            <w:tcW w:w="101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91,2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104,6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41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</w:tr>
      <w:tr w:rsidR="00083800">
        <w:tc>
          <w:tcPr>
            <w:tcW w:w="10745" w:type="dxa"/>
            <w:gridSpan w:val="8"/>
            <w:vAlign w:val="bottom"/>
          </w:tcPr>
          <w:p w:rsidR="00083800" w:rsidRDefault="00083800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 На товары, предназначенные для реализации на внутреннем рынке.</w:t>
            </w:r>
          </w:p>
          <w:p w:rsidR="00083800" w:rsidRDefault="00083800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** Данные с апреля 2022 года по март 2023 года рассчитаны без учета влияния валютного курса на цены приобретения импортных машин и оборудования инвестиционного назначения.</w:t>
            </w:r>
          </w:p>
        </w:tc>
      </w:tr>
    </w:tbl>
    <w:p w:rsidR="00D778B6" w:rsidRDefault="00D778B6">
      <w:pPr>
        <w:jc w:val="both"/>
        <w:rPr>
          <w:rFonts w:ascii="Arial" w:hAnsi="Arial" w:cs="Arial"/>
          <w:b/>
          <w:bCs/>
          <w:color w:val="363194"/>
        </w:rPr>
      </w:pPr>
    </w:p>
    <w:p w:rsidR="00D778B6" w:rsidRDefault="00571A29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2. Потребительские цены</w:t>
      </w:r>
    </w:p>
    <w:p w:rsidR="00D778B6" w:rsidRDefault="00571A29">
      <w:pPr>
        <w:spacing w:after="240"/>
        <w:ind w:firstLine="567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В ноябре 2024 года по сравнению с предыдущим месяцем индекс потребительских цен составил 101,7%, в том числе на продовольственные товары – 102,5%, непродовольственные товары  – 100,5%, услуги – 101,9%.</w:t>
      </w:r>
    </w:p>
    <w:p w:rsidR="00D778B6" w:rsidRDefault="00D778B6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потребительских цен и тарифов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116"/>
        <w:gridCol w:w="1116"/>
        <w:gridCol w:w="1117"/>
        <w:gridCol w:w="1116"/>
        <w:gridCol w:w="1116"/>
        <w:gridCol w:w="1117"/>
        <w:gridCol w:w="1116"/>
        <w:gridCol w:w="1117"/>
      </w:tblGrid>
      <w:tr w:rsidR="00D778B6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6699" w:type="dxa"/>
            <w:gridSpan w:val="6"/>
            <w:shd w:val="clear" w:color="auto" w:fill="EBEBEB"/>
          </w:tcPr>
          <w:p w:rsidR="00D778B6" w:rsidRDefault="00571A29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</w:tr>
      <w:tr w:rsidR="00D778B6">
        <w:trPr>
          <w:trHeight w:val="207"/>
          <w:tblHeader/>
        </w:trPr>
        <w:tc>
          <w:tcPr>
            <w:tcW w:w="1814" w:type="dxa"/>
            <w:vMerge/>
            <w:shd w:val="clear" w:color="auto" w:fill="EBEBEB"/>
          </w:tcPr>
          <w:p w:rsidR="00D778B6" w:rsidRDefault="00D778B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vMerge w:val="restart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</w:t>
            </w:r>
          </w:p>
        </w:tc>
      </w:tr>
      <w:tr w:rsidR="00D778B6">
        <w:trPr>
          <w:tblHeader/>
        </w:trPr>
        <w:tc>
          <w:tcPr>
            <w:tcW w:w="1814" w:type="dxa"/>
            <w:vMerge/>
            <w:shd w:val="clear" w:color="auto" w:fill="EBEBEB"/>
          </w:tcPr>
          <w:p w:rsidR="00D778B6" w:rsidRDefault="00D778B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:rsidR="00D778B6" w:rsidRDefault="00D778B6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:rsidR="00D778B6" w:rsidRDefault="00D778B6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:rsidR="00D778B6" w:rsidRDefault="00571A2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D778B6" w:rsidRDefault="00571A2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D778B6">
        <w:tc>
          <w:tcPr>
            <w:tcW w:w="10745" w:type="dxa"/>
            <w:gridSpan w:val="9"/>
            <w:vAlign w:val="bottom"/>
          </w:tcPr>
          <w:p w:rsidR="00D778B6" w:rsidRDefault="00571A29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105,4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</w:tr>
      <w:tr w:rsidR="00D778B6">
        <w:tc>
          <w:tcPr>
            <w:tcW w:w="10745" w:type="dxa"/>
            <w:gridSpan w:val="9"/>
            <w:vAlign w:val="bottom"/>
          </w:tcPr>
          <w:p w:rsidR="00D778B6" w:rsidRDefault="00571A29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lastRenderedPageBreak/>
              <w:t>2024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102,2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101,9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101,4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101,0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103,7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104,8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103,3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105,6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105,7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104,6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109,6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 xml:space="preserve">III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105,7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104,6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109,6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109,9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108,3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105,7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112,0</w:t>
            </w:r>
          </w:p>
        </w:tc>
      </w:tr>
    </w:tbl>
    <w:p w:rsidR="00D778B6" w:rsidRDefault="00D778B6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D778B6" w:rsidRDefault="00571A29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Базовый индекс потребительских цен (БИПЦ), исключающий изменения цен на отдельные товары, п</w:t>
      </w:r>
      <w:r>
        <w:rPr>
          <w:rFonts w:ascii="Arial" w:hAnsi="Arial" w:cs="Arial"/>
          <w:highlight w:val="white"/>
        </w:rPr>
        <w:t xml:space="preserve">одверженные влиянию факторов, которые носят административный, а также сезонный характер, в ноябре 2024 года </w:t>
      </w:r>
      <w:r>
        <w:rPr>
          <w:rFonts w:ascii="Arial" w:hAnsi="Arial" w:cs="Arial"/>
        </w:rPr>
        <w:t>составил 101,5% (в ноябре 2023 года – 101,0%).</w:t>
      </w:r>
    </w:p>
    <w:p w:rsidR="00D778B6" w:rsidRDefault="00571A29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ноябре 2024 года цены на продовольственные товары выросли на 2,5% (в ноябре </w:t>
      </w:r>
      <w:r>
        <w:rPr>
          <w:rFonts w:ascii="Arial" w:hAnsi="Arial" w:cs="Arial"/>
        </w:rPr>
        <w:br/>
        <w:t xml:space="preserve">2023 года – на </w:t>
      </w:r>
      <w:r w:rsidRPr="00571A29">
        <w:rPr>
          <w:rFonts w:ascii="Arial" w:hAnsi="Arial" w:cs="Arial"/>
        </w:rPr>
        <w:t>1</w:t>
      </w:r>
      <w:r>
        <w:rPr>
          <w:rFonts w:ascii="Arial" w:hAnsi="Arial" w:cs="Arial"/>
        </w:rPr>
        <w:t>,7%).</w:t>
      </w:r>
    </w:p>
    <w:p w:rsidR="00D778B6" w:rsidRDefault="00D778B6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на отдельные группы продовольственных товаров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9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9"/>
        <w:gridCol w:w="999"/>
        <w:gridCol w:w="1027"/>
        <w:gridCol w:w="958"/>
        <w:gridCol w:w="1134"/>
        <w:gridCol w:w="1133"/>
        <w:gridCol w:w="1276"/>
        <w:gridCol w:w="1278"/>
      </w:tblGrid>
      <w:tr w:rsidR="00D778B6">
        <w:trPr>
          <w:tblHeader/>
        </w:trPr>
        <w:tc>
          <w:tcPr>
            <w:tcW w:w="3189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984" w:type="dxa"/>
            <w:gridSpan w:val="3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7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554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083800">
        <w:trPr>
          <w:trHeight w:val="473"/>
          <w:tblHeader/>
        </w:trPr>
        <w:tc>
          <w:tcPr>
            <w:tcW w:w="3189" w:type="dxa"/>
            <w:vMerge/>
            <w:shd w:val="clear" w:color="auto" w:fill="EBEBEB"/>
          </w:tcPr>
          <w:p w:rsidR="00083800" w:rsidRDefault="0008380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1027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октябрь 2024 г.</w:t>
            </w:r>
          </w:p>
        </w:tc>
        <w:tc>
          <w:tcPr>
            <w:tcW w:w="958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ноябрь 2024 г.</w:t>
            </w:r>
          </w:p>
        </w:tc>
        <w:tc>
          <w:tcPr>
            <w:tcW w:w="1134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3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 2023 г.</w:t>
            </w:r>
          </w:p>
        </w:tc>
        <w:tc>
          <w:tcPr>
            <w:tcW w:w="1276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278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Продукты питания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99,5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101,3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108,0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109,5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107,9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108,5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мясо и птица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99,2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102,4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116,7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117,0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куры охлажденные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и мороженые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94,6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97,2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104,6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92,7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88,3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132,4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131,4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рыба и морепродукты пищевые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113,3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114,3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106,8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107,0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рыба мороженая неразделанная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98,9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102,9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102,9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106,6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107,5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106,7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масло сливочное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105,2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107,2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105,5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132,9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135,2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99,0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99,4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масло подсолнечное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молоко и молочная продукция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113,2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114,3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яйца куриные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96,8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69,8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86,4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145,1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148,6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сахар-песок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95,4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106,4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119,7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117,2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хлеб и хлебобулочные изделия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101,9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110,5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106,6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крупа и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бобовые</w:t>
            </w:r>
            <w:proofErr w:type="gramEnd"/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97,8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98,6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98,7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95,2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93,0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макаронные изделия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104,5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105,2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90,1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89,8</w:t>
            </w:r>
          </w:p>
        </w:tc>
      </w:tr>
      <w:tr w:rsidR="00083800">
        <w:trPr>
          <w:trHeight w:val="390"/>
        </w:trPr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плодоовощная продукция, включая картофель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90,7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102,4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112,6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114,7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120,9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120,5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124,5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Алкогольные напитки</w:t>
            </w:r>
          </w:p>
        </w:tc>
        <w:tc>
          <w:tcPr>
            <w:tcW w:w="99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100,4</w:t>
            </w:r>
          </w:p>
        </w:tc>
        <w:tc>
          <w:tcPr>
            <w:tcW w:w="1027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100,7</w:t>
            </w:r>
          </w:p>
        </w:tc>
        <w:tc>
          <w:tcPr>
            <w:tcW w:w="95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108,5</w:t>
            </w:r>
          </w:p>
        </w:tc>
        <w:tc>
          <w:tcPr>
            <w:tcW w:w="113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108,6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104,0</w:t>
            </w:r>
          </w:p>
        </w:tc>
        <w:tc>
          <w:tcPr>
            <w:tcW w:w="12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104,4</w:t>
            </w:r>
          </w:p>
        </w:tc>
      </w:tr>
    </w:tbl>
    <w:p w:rsidR="00D778B6" w:rsidRDefault="00D778B6">
      <w:pPr>
        <w:spacing w:after="240"/>
        <w:ind w:firstLine="567"/>
        <w:jc w:val="both"/>
        <w:rPr>
          <w:rFonts w:ascii="Arial" w:hAnsi="Arial" w:cs="Arial"/>
        </w:rPr>
      </w:pPr>
    </w:p>
    <w:p w:rsidR="00D778B6" w:rsidRDefault="00571A29" w:rsidP="000A3167">
      <w:pPr>
        <w:ind w:right="-143" w:firstLine="567"/>
        <w:rPr>
          <w:rFonts w:ascii="Arial" w:hAnsi="Arial" w:cs="Arial"/>
          <w:color w:val="282A2E" w:themeColor="text1"/>
        </w:rPr>
      </w:pPr>
      <w:r>
        <w:rPr>
          <w:rFonts w:ascii="Arial" w:hAnsi="Arial" w:cs="Arial"/>
        </w:rPr>
        <w:br w:type="page" w:clear="all"/>
      </w:r>
      <w:r>
        <w:rPr>
          <w:rFonts w:ascii="Arial" w:hAnsi="Arial" w:cs="Arial"/>
        </w:rPr>
        <w:lastRenderedPageBreak/>
        <w:t xml:space="preserve">Цены на непродовольственные товары в ноябре 2024 года выросли на 0,5% (в ноябре </w:t>
      </w:r>
      <w:r w:rsidR="000A3167">
        <w:rPr>
          <w:rFonts w:ascii="Arial" w:hAnsi="Arial" w:cs="Arial"/>
        </w:rPr>
        <w:t>2</w:t>
      </w:r>
      <w:r w:rsidR="000A3167">
        <w:rPr>
          <w:rFonts w:ascii="Arial" w:hAnsi="Arial" w:cs="Arial"/>
          <w:color w:val="282A2E" w:themeColor="text1"/>
        </w:rPr>
        <w:t xml:space="preserve">023 года </w:t>
      </w:r>
      <w:r>
        <w:rPr>
          <w:rFonts w:ascii="Arial" w:hAnsi="Arial" w:cs="Arial"/>
          <w:color w:val="282A2E" w:themeColor="text1"/>
        </w:rPr>
        <w:t>– на 0,7%).</w:t>
      </w:r>
    </w:p>
    <w:p w:rsidR="00D778B6" w:rsidRDefault="00D778B6">
      <w:pPr>
        <w:ind w:firstLine="567"/>
        <w:rPr>
          <w:rFonts w:ascii="Arial" w:hAnsi="Arial" w:cs="Arial"/>
        </w:rPr>
      </w:pP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на отдельные группы непродовольственных товаров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8"/>
        <w:gridCol w:w="1176"/>
        <w:gridCol w:w="1134"/>
        <w:gridCol w:w="1134"/>
        <w:gridCol w:w="992"/>
        <w:gridCol w:w="1134"/>
        <w:gridCol w:w="1134"/>
        <w:gridCol w:w="853"/>
      </w:tblGrid>
      <w:tr w:rsidR="00D778B6" w:rsidTr="000A3167">
        <w:trPr>
          <w:tblHeader/>
        </w:trPr>
        <w:tc>
          <w:tcPr>
            <w:tcW w:w="3188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444" w:type="dxa"/>
            <w:gridSpan w:val="3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D778B6" w:rsidRDefault="00D778B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1987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083800" w:rsidTr="000A3167">
        <w:trPr>
          <w:trHeight w:val="473"/>
          <w:tblHeader/>
        </w:trPr>
        <w:tc>
          <w:tcPr>
            <w:tcW w:w="3188" w:type="dxa"/>
            <w:vMerge/>
            <w:shd w:val="clear" w:color="auto" w:fill="EBEBEB"/>
          </w:tcPr>
          <w:p w:rsidR="00083800" w:rsidRDefault="0008380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76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1134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октябрь 2024 г.</w:t>
            </w:r>
          </w:p>
        </w:tc>
        <w:tc>
          <w:tcPr>
            <w:tcW w:w="1134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ноябрь 2024 г.</w:t>
            </w:r>
          </w:p>
        </w:tc>
        <w:tc>
          <w:tcPr>
            <w:tcW w:w="992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 2023 г.</w:t>
            </w:r>
          </w:p>
        </w:tc>
        <w:tc>
          <w:tcPr>
            <w:tcW w:w="1134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853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083800" w:rsidTr="000A3167">
        <w:tc>
          <w:tcPr>
            <w:tcW w:w="3188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Ткани</w:t>
            </w:r>
          </w:p>
        </w:tc>
        <w:tc>
          <w:tcPr>
            <w:tcW w:w="11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105,8</w:t>
            </w:r>
          </w:p>
        </w:tc>
        <w:tc>
          <w:tcPr>
            <w:tcW w:w="85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104,5</w:t>
            </w:r>
          </w:p>
        </w:tc>
      </w:tr>
      <w:tr w:rsidR="00083800" w:rsidTr="000A3167">
        <w:tc>
          <w:tcPr>
            <w:tcW w:w="3188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Одежда и белье</w:t>
            </w:r>
          </w:p>
        </w:tc>
        <w:tc>
          <w:tcPr>
            <w:tcW w:w="11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103,1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103,8</w:t>
            </w:r>
          </w:p>
        </w:tc>
        <w:tc>
          <w:tcPr>
            <w:tcW w:w="85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103,7</w:t>
            </w:r>
          </w:p>
        </w:tc>
      </w:tr>
      <w:tr w:rsidR="00083800" w:rsidTr="000A3167">
        <w:tc>
          <w:tcPr>
            <w:tcW w:w="3188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Трикотажные изделия</w:t>
            </w:r>
          </w:p>
        </w:tc>
        <w:tc>
          <w:tcPr>
            <w:tcW w:w="11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104,7</w:t>
            </w:r>
          </w:p>
        </w:tc>
        <w:tc>
          <w:tcPr>
            <w:tcW w:w="85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104,4</w:t>
            </w:r>
          </w:p>
        </w:tc>
      </w:tr>
      <w:tr w:rsidR="00083800" w:rsidTr="000A3167">
        <w:tc>
          <w:tcPr>
            <w:tcW w:w="3188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Обувь</w:t>
            </w:r>
          </w:p>
        </w:tc>
        <w:tc>
          <w:tcPr>
            <w:tcW w:w="11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85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104,0</w:t>
            </w:r>
          </w:p>
        </w:tc>
      </w:tr>
      <w:tr w:rsidR="00083800" w:rsidTr="000A3167">
        <w:trPr>
          <w:trHeight w:val="152"/>
        </w:trPr>
        <w:tc>
          <w:tcPr>
            <w:tcW w:w="3188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Моющие и чистящие средства</w:t>
            </w:r>
          </w:p>
        </w:tc>
        <w:tc>
          <w:tcPr>
            <w:tcW w:w="11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85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103,0</w:t>
            </w:r>
          </w:p>
        </w:tc>
      </w:tr>
      <w:tr w:rsidR="00083800" w:rsidTr="000A3167">
        <w:tc>
          <w:tcPr>
            <w:tcW w:w="3188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Табачные изделия</w:t>
            </w:r>
          </w:p>
        </w:tc>
        <w:tc>
          <w:tcPr>
            <w:tcW w:w="11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104,6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  <w:tc>
          <w:tcPr>
            <w:tcW w:w="85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</w:tr>
      <w:tr w:rsidR="00083800" w:rsidTr="000A3167">
        <w:tc>
          <w:tcPr>
            <w:tcW w:w="3188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Электротовары и другие бытовые приборы</w:t>
            </w:r>
          </w:p>
        </w:tc>
        <w:tc>
          <w:tcPr>
            <w:tcW w:w="11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103,4</w:t>
            </w:r>
          </w:p>
        </w:tc>
        <w:tc>
          <w:tcPr>
            <w:tcW w:w="85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</w:tr>
      <w:tr w:rsidR="00083800" w:rsidTr="000A3167">
        <w:tc>
          <w:tcPr>
            <w:tcW w:w="3188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Телерадиотовары</w:t>
            </w:r>
            <w:proofErr w:type="spellEnd"/>
          </w:p>
        </w:tc>
        <w:tc>
          <w:tcPr>
            <w:tcW w:w="11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95,0</w:t>
            </w:r>
          </w:p>
        </w:tc>
        <w:tc>
          <w:tcPr>
            <w:tcW w:w="85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97,6</w:t>
            </w:r>
          </w:p>
        </w:tc>
      </w:tr>
      <w:tr w:rsidR="00083800" w:rsidTr="000A3167">
        <w:tc>
          <w:tcPr>
            <w:tcW w:w="3188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Строительные материалы</w:t>
            </w:r>
          </w:p>
        </w:tc>
        <w:tc>
          <w:tcPr>
            <w:tcW w:w="11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108,1</w:t>
            </w:r>
          </w:p>
        </w:tc>
        <w:tc>
          <w:tcPr>
            <w:tcW w:w="85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108,5</w:t>
            </w:r>
          </w:p>
        </w:tc>
      </w:tr>
      <w:tr w:rsidR="00083800" w:rsidTr="000A3167">
        <w:tc>
          <w:tcPr>
            <w:tcW w:w="3188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Легковые автомобили</w:t>
            </w:r>
          </w:p>
        </w:tc>
        <w:tc>
          <w:tcPr>
            <w:tcW w:w="11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  <w:tc>
          <w:tcPr>
            <w:tcW w:w="85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</w:tr>
      <w:tr w:rsidR="00083800" w:rsidTr="000A3167">
        <w:tc>
          <w:tcPr>
            <w:tcW w:w="3188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Бензин автомобильный</w:t>
            </w:r>
          </w:p>
        </w:tc>
        <w:tc>
          <w:tcPr>
            <w:tcW w:w="11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85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</w:tr>
      <w:tr w:rsidR="00083800" w:rsidTr="000A3167">
        <w:tc>
          <w:tcPr>
            <w:tcW w:w="3188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Медикаменты</w:t>
            </w:r>
          </w:p>
        </w:tc>
        <w:tc>
          <w:tcPr>
            <w:tcW w:w="11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114,6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85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108,0</w:t>
            </w:r>
          </w:p>
        </w:tc>
      </w:tr>
    </w:tbl>
    <w:p w:rsidR="00D778B6" w:rsidRDefault="00D778B6">
      <w:pPr>
        <w:jc w:val="both"/>
        <w:rPr>
          <w:rFonts w:ascii="Arial" w:hAnsi="Arial" w:cs="Arial"/>
          <w:b/>
          <w:bCs/>
          <w:color w:val="363194"/>
        </w:rPr>
      </w:pPr>
    </w:p>
    <w:p w:rsidR="00D778B6" w:rsidRDefault="00D778B6">
      <w:pPr>
        <w:jc w:val="both"/>
        <w:rPr>
          <w:rFonts w:ascii="Arial" w:hAnsi="Arial" w:cs="Arial"/>
          <w:b/>
          <w:bCs/>
          <w:color w:val="363194"/>
        </w:rPr>
      </w:pP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Изменение цен на рынке автомобильного топлива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60"/>
        <w:gridCol w:w="1054"/>
        <w:gridCol w:w="992"/>
        <w:gridCol w:w="992"/>
        <w:gridCol w:w="992"/>
        <w:gridCol w:w="992"/>
        <w:gridCol w:w="1276"/>
        <w:gridCol w:w="992"/>
        <w:gridCol w:w="993"/>
      </w:tblGrid>
      <w:tr w:rsidR="00D778B6">
        <w:trPr>
          <w:tblHeader/>
        </w:trPr>
        <w:tc>
          <w:tcPr>
            <w:tcW w:w="2460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38" w:type="dxa"/>
            <w:gridSpan w:val="3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984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D778B6" w:rsidRDefault="00D778B6">
            <w:pPr>
              <w:spacing w:before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EBEBEB"/>
          </w:tcPr>
          <w:p w:rsidR="00D778B6" w:rsidRDefault="00571A29">
            <w:pPr>
              <w:spacing w:before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Среднеме</w:t>
            </w:r>
            <w:proofErr w:type="spellEnd"/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  <w:p w:rsidR="00D778B6" w:rsidRDefault="00571A29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сячный</w:t>
            </w:r>
            <w:proofErr w:type="spellEnd"/>
          </w:p>
          <w:p w:rsidR="00D778B6" w:rsidRDefault="00571A29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прирост</w:t>
            </w:r>
          </w:p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(снижение) с начала года</w:t>
            </w:r>
          </w:p>
        </w:tc>
        <w:tc>
          <w:tcPr>
            <w:tcW w:w="1985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083800">
        <w:trPr>
          <w:trHeight w:val="473"/>
          <w:tblHeader/>
        </w:trPr>
        <w:tc>
          <w:tcPr>
            <w:tcW w:w="2460" w:type="dxa"/>
            <w:vMerge/>
            <w:shd w:val="clear" w:color="auto" w:fill="EBEBEB"/>
          </w:tcPr>
          <w:p w:rsidR="00083800" w:rsidRDefault="0008380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54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992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октябрь 2024 г.</w:t>
            </w:r>
          </w:p>
        </w:tc>
        <w:tc>
          <w:tcPr>
            <w:tcW w:w="992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ноябрь 2024 г.</w:t>
            </w:r>
          </w:p>
        </w:tc>
        <w:tc>
          <w:tcPr>
            <w:tcW w:w="992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992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 2023 г.</w:t>
            </w:r>
          </w:p>
        </w:tc>
        <w:tc>
          <w:tcPr>
            <w:tcW w:w="1276" w:type="dxa"/>
            <w:vMerge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993" w:type="dxa"/>
            <w:shd w:val="clear" w:color="auto" w:fill="EBEBEB"/>
          </w:tcPr>
          <w:p w:rsidR="00083800" w:rsidRDefault="00083800" w:rsidP="000A3167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083800">
        <w:tc>
          <w:tcPr>
            <w:tcW w:w="2460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Бензин:</w:t>
            </w:r>
          </w:p>
        </w:tc>
        <w:tc>
          <w:tcPr>
            <w:tcW w:w="105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+0,97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</w:tr>
      <w:tr w:rsidR="00083800">
        <w:tc>
          <w:tcPr>
            <w:tcW w:w="2460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АИ-92</w:t>
            </w:r>
          </w:p>
        </w:tc>
        <w:tc>
          <w:tcPr>
            <w:tcW w:w="105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+0,81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</w:tr>
      <w:tr w:rsidR="00083800">
        <w:tc>
          <w:tcPr>
            <w:tcW w:w="2460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АИ-95</w:t>
            </w:r>
          </w:p>
        </w:tc>
        <w:tc>
          <w:tcPr>
            <w:tcW w:w="105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+0,84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</w:tr>
      <w:tr w:rsidR="00083800">
        <w:tc>
          <w:tcPr>
            <w:tcW w:w="2460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АИ-98</w:t>
            </w:r>
          </w:p>
        </w:tc>
        <w:tc>
          <w:tcPr>
            <w:tcW w:w="105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104,2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102,6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121,4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121,8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+1,95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111,8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112,0</w:t>
            </w:r>
          </w:p>
        </w:tc>
      </w:tr>
      <w:tr w:rsidR="00083800">
        <w:tc>
          <w:tcPr>
            <w:tcW w:w="2460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Газовое моторное топливо</w:t>
            </w:r>
          </w:p>
        </w:tc>
        <w:tc>
          <w:tcPr>
            <w:tcW w:w="105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110,2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106,8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+0,93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161,6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152,3</w:t>
            </w:r>
          </w:p>
        </w:tc>
      </w:tr>
      <w:tr w:rsidR="00083800">
        <w:tc>
          <w:tcPr>
            <w:tcW w:w="2460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Дизельное топливо</w:t>
            </w:r>
          </w:p>
        </w:tc>
        <w:tc>
          <w:tcPr>
            <w:tcW w:w="105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106,6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127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+0,60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107,6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110,4</w:t>
            </w:r>
          </w:p>
        </w:tc>
      </w:tr>
    </w:tbl>
    <w:p w:rsidR="00D778B6" w:rsidRDefault="00D778B6">
      <w:pPr>
        <w:jc w:val="both"/>
        <w:rPr>
          <w:rFonts w:ascii="Arial" w:hAnsi="Arial" w:cs="Arial"/>
        </w:rPr>
      </w:pPr>
    </w:p>
    <w:p w:rsidR="00D778B6" w:rsidRDefault="00D778B6">
      <w:pPr>
        <w:spacing w:after="240"/>
        <w:ind w:firstLine="567"/>
        <w:jc w:val="both"/>
        <w:rPr>
          <w:rFonts w:ascii="Arial" w:hAnsi="Arial" w:cs="Arial"/>
          <w:highlight w:val="yellow"/>
        </w:rPr>
      </w:pPr>
    </w:p>
    <w:p w:rsidR="00083800" w:rsidRDefault="00083800">
      <w:pPr>
        <w:spacing w:after="240"/>
        <w:ind w:firstLine="567"/>
        <w:jc w:val="both"/>
        <w:rPr>
          <w:rFonts w:ascii="Arial" w:hAnsi="Arial" w:cs="Arial"/>
          <w:highlight w:val="yellow"/>
        </w:rPr>
      </w:pPr>
    </w:p>
    <w:p w:rsidR="00083800" w:rsidRDefault="00083800">
      <w:pPr>
        <w:spacing w:after="240"/>
        <w:ind w:firstLine="567"/>
        <w:jc w:val="both"/>
        <w:rPr>
          <w:rFonts w:ascii="Arial" w:hAnsi="Arial" w:cs="Arial"/>
          <w:highlight w:val="yellow"/>
        </w:rPr>
      </w:pPr>
    </w:p>
    <w:p w:rsidR="00083800" w:rsidRDefault="00083800">
      <w:pPr>
        <w:spacing w:after="240"/>
        <w:ind w:firstLine="567"/>
        <w:jc w:val="both"/>
        <w:rPr>
          <w:rFonts w:ascii="Arial" w:hAnsi="Arial" w:cs="Arial"/>
          <w:highlight w:val="yellow"/>
        </w:rPr>
      </w:pPr>
    </w:p>
    <w:p w:rsidR="00083800" w:rsidRDefault="00083800">
      <w:pPr>
        <w:spacing w:after="240"/>
        <w:ind w:firstLine="567"/>
        <w:jc w:val="both"/>
        <w:rPr>
          <w:rFonts w:ascii="Arial" w:hAnsi="Arial" w:cs="Arial"/>
          <w:highlight w:val="yellow"/>
        </w:rPr>
      </w:pPr>
    </w:p>
    <w:p w:rsidR="00083800" w:rsidRDefault="00083800">
      <w:pPr>
        <w:spacing w:after="240"/>
        <w:ind w:firstLine="567"/>
        <w:jc w:val="both"/>
        <w:rPr>
          <w:rFonts w:ascii="Arial" w:hAnsi="Arial" w:cs="Arial"/>
          <w:highlight w:val="yellow"/>
        </w:rPr>
      </w:pPr>
    </w:p>
    <w:p w:rsidR="00083800" w:rsidRDefault="00083800">
      <w:pPr>
        <w:spacing w:after="240"/>
        <w:ind w:firstLine="567"/>
        <w:jc w:val="both"/>
        <w:rPr>
          <w:rFonts w:ascii="Arial" w:hAnsi="Arial" w:cs="Arial"/>
          <w:highlight w:val="yellow"/>
        </w:rPr>
      </w:pPr>
    </w:p>
    <w:p w:rsidR="00D778B6" w:rsidRDefault="00571A29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услуги в ноябре 2024 года выросли на 1,9% (в ноябре 2023 года </w:t>
      </w:r>
      <w:r w:rsidR="0008380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на 1,1%).</w:t>
      </w: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и тарифов на отдельные группы и виды услуг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9"/>
        <w:gridCol w:w="1000"/>
        <w:gridCol w:w="1026"/>
        <w:gridCol w:w="992"/>
        <w:gridCol w:w="992"/>
        <w:gridCol w:w="1134"/>
        <w:gridCol w:w="1273"/>
        <w:gridCol w:w="1139"/>
      </w:tblGrid>
      <w:tr w:rsidR="00D778B6">
        <w:trPr>
          <w:tblHeader/>
        </w:trPr>
        <w:tc>
          <w:tcPr>
            <w:tcW w:w="3189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18" w:type="dxa"/>
            <w:gridSpan w:val="3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D778B6" w:rsidRDefault="00D778B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412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083800">
        <w:trPr>
          <w:trHeight w:val="473"/>
          <w:tblHeader/>
        </w:trPr>
        <w:tc>
          <w:tcPr>
            <w:tcW w:w="3189" w:type="dxa"/>
            <w:vMerge/>
            <w:shd w:val="clear" w:color="auto" w:fill="EBEBEB"/>
          </w:tcPr>
          <w:p w:rsidR="00083800" w:rsidRDefault="0008380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1026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октябрь 2024 г.</w:t>
            </w:r>
          </w:p>
        </w:tc>
        <w:tc>
          <w:tcPr>
            <w:tcW w:w="992" w:type="dxa"/>
            <w:shd w:val="clear" w:color="auto" w:fill="EBEBEB"/>
          </w:tcPr>
          <w:p w:rsidR="00083800" w:rsidRPr="00083800" w:rsidRDefault="00083800" w:rsidP="00751F0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ноябрь 2024 г.</w:t>
            </w:r>
          </w:p>
        </w:tc>
        <w:tc>
          <w:tcPr>
            <w:tcW w:w="992" w:type="dxa"/>
            <w:shd w:val="clear" w:color="auto" w:fill="EBEBEB"/>
          </w:tcPr>
          <w:p w:rsidR="00083800" w:rsidRDefault="00083800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083800" w:rsidRDefault="00083800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 2023 г.</w:t>
            </w:r>
          </w:p>
        </w:tc>
        <w:tc>
          <w:tcPr>
            <w:tcW w:w="1273" w:type="dxa"/>
            <w:shd w:val="clear" w:color="auto" w:fill="EBEBEB"/>
          </w:tcPr>
          <w:p w:rsidR="00083800" w:rsidRDefault="00083800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139" w:type="dxa"/>
            <w:shd w:val="clear" w:color="auto" w:fill="EBEBEB"/>
          </w:tcPr>
          <w:p w:rsidR="00083800" w:rsidRDefault="00083800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Бытовые услуги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108,3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пассажирского транспорта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99,1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109,4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108,6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114,8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117,8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городской пассажирский транспорт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104,1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107,4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109,7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110,2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почтовой связи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111,8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113,4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118,3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телекоммуникационные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118,4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118,9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104,7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организаций ЖКХ, оказываемые населению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108,3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жилищные (без аренды квартир у частных лиц)</w:t>
            </w:r>
            <w:proofErr w:type="gramEnd"/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них:</w:t>
            </w:r>
          </w:p>
          <w:p w:rsidR="00083800" w:rsidRDefault="00083800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оплата жилья в домах государственного и муниципального жилищных фондов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содержание, ремонт жилья для граждан собственников жилья 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105,1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105,1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услуги по организации и выполнению работ по эксплуатации домов ЖК, ЖСК, ТСЖ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104,5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104,5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взносы на капитальный ремонт 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Аренда однокомнатной квартиры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у частных лиц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105,6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103,2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132,7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134,6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116,0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116,8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Аренда двухкомнатной квартиры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у частных лиц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119,6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119,7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119,7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119,9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коммунальные услуги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них:</w:t>
            </w:r>
          </w:p>
          <w:p w:rsidR="00083800" w:rsidRDefault="00083800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обращение с твердыми коммунальными отходами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104,0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 холодное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109,1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109,1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водоотведение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 горячее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110,5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110,5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109,5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отопление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109,4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газоснабжение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108,4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электроснабжение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108,8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гостиниц и прочих мест проживания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111,2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111,5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109,1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дошкольного воспитания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103,3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104,2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104,2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образования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105,2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109,3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организаций культуры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103,8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112,1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107,5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107,5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в сфере зарубежного туризма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81,9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115,2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137,8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130,9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110,6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104,3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Санаторно-оздоровительные услуги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92,5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116,0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108,3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Медицинские услуги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108,3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107,0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банков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99,2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117,3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131,1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136,1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128,3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126,4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страхования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103,2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105,8</w:t>
            </w:r>
          </w:p>
        </w:tc>
      </w:tr>
      <w:tr w:rsidR="00083800">
        <w:tc>
          <w:tcPr>
            <w:tcW w:w="3189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физической культуры  и спорта</w:t>
            </w:r>
          </w:p>
        </w:tc>
        <w:tc>
          <w:tcPr>
            <w:tcW w:w="100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107,4</w:t>
            </w:r>
          </w:p>
        </w:tc>
        <w:tc>
          <w:tcPr>
            <w:tcW w:w="1026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113,5</w:t>
            </w:r>
          </w:p>
        </w:tc>
        <w:tc>
          <w:tcPr>
            <w:tcW w:w="127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110,2</w:t>
            </w:r>
          </w:p>
        </w:tc>
        <w:tc>
          <w:tcPr>
            <w:tcW w:w="1139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</w:tr>
    </w:tbl>
    <w:p w:rsidR="00D778B6" w:rsidRDefault="00D778B6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D778B6" w:rsidRDefault="00D778B6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D778B6" w:rsidRDefault="00571A29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>3. Цены производителей</w:t>
      </w: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3.1. Индексы и уровни цен производителей промышленных товаров</w:t>
      </w:r>
    </w:p>
    <w:p w:rsidR="00D778B6" w:rsidRDefault="00571A29">
      <w:pPr>
        <w:spacing w:after="240"/>
        <w:ind w:firstLine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Индекс цен производителей промышленных товаров в ноябре 2024 года относительно предыдущего месяца, по предварительным данным, составил 102,0%, в том числе в добыче полезных ископаемых – 108,4%, в обрабатывающих производствах – 99,9%, в обеспечении электрической энергией, газом и паром; кондиционированием воздуха – 100,2%, в водоснабжении; водоотведении, организации сбора и утилизации отходов, деятельности по ликвидации загрязнений – 99,4%.</w:t>
      </w:r>
      <w:proofErr w:type="gramEnd"/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производителей промышленных товаров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709"/>
        <w:gridCol w:w="851"/>
        <w:gridCol w:w="850"/>
        <w:gridCol w:w="851"/>
        <w:gridCol w:w="850"/>
        <w:gridCol w:w="851"/>
        <w:gridCol w:w="992"/>
        <w:gridCol w:w="992"/>
        <w:gridCol w:w="992"/>
        <w:gridCol w:w="993"/>
      </w:tblGrid>
      <w:tr w:rsidR="00D778B6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7371" w:type="dxa"/>
            <w:gridSpan w:val="8"/>
            <w:shd w:val="clear" w:color="auto" w:fill="EBEBEB"/>
          </w:tcPr>
          <w:p w:rsidR="00D778B6" w:rsidRDefault="00571A29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</w:tr>
      <w:tr w:rsidR="00D778B6">
        <w:trPr>
          <w:trHeight w:val="207"/>
          <w:tblHeader/>
        </w:trPr>
        <w:tc>
          <w:tcPr>
            <w:tcW w:w="1814" w:type="dxa"/>
            <w:vMerge/>
            <w:shd w:val="clear" w:color="auto" w:fill="EBEBEB"/>
          </w:tcPr>
          <w:p w:rsidR="00D778B6" w:rsidRDefault="00D778B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EBEBEB"/>
          </w:tcPr>
          <w:p w:rsidR="00D778B6" w:rsidRDefault="00571A29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пери-оду</w:t>
            </w:r>
            <w:proofErr w:type="gramEnd"/>
          </w:p>
        </w:tc>
        <w:tc>
          <w:tcPr>
            <w:tcW w:w="851" w:type="dxa"/>
            <w:vMerge w:val="restart"/>
            <w:shd w:val="clear" w:color="auto" w:fill="EBEBEB"/>
          </w:tcPr>
          <w:p w:rsidR="00D778B6" w:rsidRDefault="00571A29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декаб-рю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701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701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щие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производства</w:t>
            </w:r>
          </w:p>
        </w:tc>
        <w:tc>
          <w:tcPr>
            <w:tcW w:w="1984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 паром; кондиционирование воздуха</w:t>
            </w:r>
          </w:p>
        </w:tc>
        <w:tc>
          <w:tcPr>
            <w:tcW w:w="1985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 утилизации отходов, деятельность по ликвидации загрязнений</w:t>
            </w:r>
          </w:p>
        </w:tc>
      </w:tr>
      <w:tr w:rsidR="00D778B6">
        <w:trPr>
          <w:tblHeader/>
        </w:trPr>
        <w:tc>
          <w:tcPr>
            <w:tcW w:w="1814" w:type="dxa"/>
            <w:vMerge/>
            <w:shd w:val="clear" w:color="auto" w:fill="EBEBEB"/>
          </w:tcPr>
          <w:p w:rsidR="00D778B6" w:rsidRDefault="00D778B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EBEBEB"/>
          </w:tcPr>
          <w:p w:rsidR="00D778B6" w:rsidRDefault="00D778B6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EBEBEB"/>
          </w:tcPr>
          <w:p w:rsidR="00D778B6" w:rsidRDefault="00D778B6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BEBEB"/>
          </w:tcPr>
          <w:p w:rsidR="00D778B6" w:rsidRDefault="00571A29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851" w:type="dxa"/>
            <w:shd w:val="clear" w:color="auto" w:fill="EBEBEB"/>
          </w:tcPr>
          <w:p w:rsidR="00D778B6" w:rsidRDefault="00571A29">
            <w:pPr>
              <w:spacing w:before="40" w:after="40"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декаб-рю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850" w:type="dxa"/>
            <w:shd w:val="clear" w:color="auto" w:fill="EBEBEB"/>
          </w:tcPr>
          <w:p w:rsidR="00D778B6" w:rsidRDefault="00571A29">
            <w:pPr>
              <w:spacing w:before="40" w:after="40"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851" w:type="dxa"/>
            <w:shd w:val="clear" w:color="auto" w:fill="EBEBEB"/>
          </w:tcPr>
          <w:p w:rsidR="00D778B6" w:rsidRDefault="00571A29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преды-дущего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shd w:val="clear" w:color="auto" w:fill="EBEBEB"/>
          </w:tcPr>
          <w:p w:rsidR="00D778B6" w:rsidRDefault="00571A29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992" w:type="dxa"/>
            <w:shd w:val="clear" w:color="auto" w:fill="EBEBEB"/>
          </w:tcPr>
          <w:p w:rsidR="00D778B6" w:rsidRDefault="00571A29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декаб-рю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shd w:val="clear" w:color="auto" w:fill="EBEBEB"/>
          </w:tcPr>
          <w:p w:rsidR="00D778B6" w:rsidRDefault="00571A29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993" w:type="dxa"/>
            <w:shd w:val="clear" w:color="auto" w:fill="EBEBEB"/>
          </w:tcPr>
          <w:p w:rsidR="00D778B6" w:rsidRDefault="00571A29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декаб-рю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D778B6">
        <w:tc>
          <w:tcPr>
            <w:tcW w:w="10745" w:type="dxa"/>
            <w:gridSpan w:val="11"/>
            <w:vAlign w:val="bottom"/>
          </w:tcPr>
          <w:p w:rsidR="00D778B6" w:rsidRDefault="00571A29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90,4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149,7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145,8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87,0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126,8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117,7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126,8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112,9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140,4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120,0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125,5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176,2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127,1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120,8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2,1 р.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112,8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114,9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127,1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167,8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2,1 р.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112,8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134,3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118,3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2,5 р.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114,2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133,4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93,2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2,3 р.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102,3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116,8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98,1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95,0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126,7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79,3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186,0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126,7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87,4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186,0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104,3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D778B6">
        <w:tc>
          <w:tcPr>
            <w:tcW w:w="10745" w:type="dxa"/>
            <w:gridSpan w:val="11"/>
            <w:vAlign w:val="bottom"/>
          </w:tcPr>
          <w:p w:rsidR="00D778B6" w:rsidRDefault="00571A29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97,7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109,6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70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104,9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112,4</w:t>
            </w:r>
          </w:p>
        </w:tc>
        <w:tc>
          <w:tcPr>
            <w:tcW w:w="85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98,2</w:t>
            </w:r>
          </w:p>
        </w:tc>
        <w:tc>
          <w:tcPr>
            <w:tcW w:w="851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  <w:tc>
          <w:tcPr>
            <w:tcW w:w="993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70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108,9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108,0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121,4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99,0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993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70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88,3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107,2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99,0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98,0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993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70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98,1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107,2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96,4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98,0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993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70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106,1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106,1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108,9</w:t>
            </w:r>
          </w:p>
        </w:tc>
        <w:tc>
          <w:tcPr>
            <w:tcW w:w="993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70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109,1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113,7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105,5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93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109,7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70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98,9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107,9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107,1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993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109,5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 xml:space="preserve">III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70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107,9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107,1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111,5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109,0</w:t>
            </w:r>
          </w:p>
        </w:tc>
        <w:tc>
          <w:tcPr>
            <w:tcW w:w="993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109,5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91,7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108,7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110,9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93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109,9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70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108,4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108,6</w:t>
            </w:r>
          </w:p>
        </w:tc>
        <w:tc>
          <w:tcPr>
            <w:tcW w:w="85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851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108,5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111,1</w:t>
            </w:r>
          </w:p>
        </w:tc>
        <w:tc>
          <w:tcPr>
            <w:tcW w:w="992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  <w:tc>
          <w:tcPr>
            <w:tcW w:w="993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</w:tr>
    </w:tbl>
    <w:p w:rsidR="00D778B6" w:rsidRDefault="00D778B6">
      <w:pPr>
        <w:jc w:val="both"/>
        <w:rPr>
          <w:rFonts w:ascii="Arial" w:hAnsi="Arial" w:cs="Arial"/>
          <w:b/>
          <w:bCs/>
          <w:color w:val="363194"/>
        </w:rPr>
      </w:pPr>
    </w:p>
    <w:p w:rsidR="00D778B6" w:rsidRDefault="00571A29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Индексы цен производителей по отдельным видам экономической деятельности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8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1"/>
        <w:gridCol w:w="1077"/>
        <w:gridCol w:w="992"/>
        <w:gridCol w:w="993"/>
        <w:gridCol w:w="1134"/>
        <w:gridCol w:w="1134"/>
        <w:gridCol w:w="1276"/>
        <w:gridCol w:w="1386"/>
      </w:tblGrid>
      <w:tr w:rsidR="00D778B6">
        <w:trPr>
          <w:tblHeader/>
        </w:trPr>
        <w:tc>
          <w:tcPr>
            <w:tcW w:w="2862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62" w:type="dxa"/>
            <w:gridSpan w:val="3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662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D778B6" w:rsidTr="00083800">
        <w:trPr>
          <w:trHeight w:val="473"/>
          <w:tblHeader/>
        </w:trPr>
        <w:tc>
          <w:tcPr>
            <w:tcW w:w="2862" w:type="dxa"/>
            <w:vMerge/>
            <w:shd w:val="clear" w:color="auto" w:fill="EBEBEB"/>
          </w:tcPr>
          <w:p w:rsidR="00D778B6" w:rsidRDefault="00D778B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EBEBEB"/>
          </w:tcPr>
          <w:p w:rsidR="00D778B6" w:rsidRPr="00083800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992" w:type="dxa"/>
            <w:shd w:val="clear" w:color="auto" w:fill="EBEBEB"/>
          </w:tcPr>
          <w:p w:rsidR="00D778B6" w:rsidRPr="00083800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октябрь 2024 г.</w:t>
            </w:r>
          </w:p>
        </w:tc>
        <w:tc>
          <w:tcPr>
            <w:tcW w:w="992" w:type="dxa"/>
            <w:shd w:val="clear" w:color="auto" w:fill="EBEBEB"/>
          </w:tcPr>
          <w:p w:rsidR="00D778B6" w:rsidRPr="00083800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ноябрь 2024 г.</w:t>
            </w:r>
          </w:p>
        </w:tc>
        <w:tc>
          <w:tcPr>
            <w:tcW w:w="1134" w:type="dxa"/>
            <w:shd w:val="clear" w:color="auto" w:fill="EBEBEB"/>
          </w:tcPr>
          <w:p w:rsidR="00D778B6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D778B6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 2023 г.</w:t>
            </w:r>
          </w:p>
        </w:tc>
        <w:tc>
          <w:tcPr>
            <w:tcW w:w="1276" w:type="dxa"/>
            <w:shd w:val="clear" w:color="auto" w:fill="EBEBEB"/>
          </w:tcPr>
          <w:p w:rsidR="00D778B6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386" w:type="dxa"/>
            <w:shd w:val="clear" w:color="auto" w:fill="EBEBEB"/>
          </w:tcPr>
          <w:p w:rsidR="00D778B6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D778B6">
        <w:tc>
          <w:tcPr>
            <w:tcW w:w="2862" w:type="dxa"/>
          </w:tcPr>
          <w:p w:rsidR="00D778B6" w:rsidRDefault="00571A29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96,0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91,7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108,4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108,6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87,3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в 2,3 р.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190,3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95,7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90,9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109,3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109,4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86,1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 2,5 р.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 2,0 р.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114,0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114,9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104,4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111,2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101,5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108,5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108,3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116,8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115,0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110,8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110,2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111,0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109,7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110,2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107,2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107,6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103,1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112,3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112,3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104,9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108,0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121,0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121,0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112,8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112,8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…*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…*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113,1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105,2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105,2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115,4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86,2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116,3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191,4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152,5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118,3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118,2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95,1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98,4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98,4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108,7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99,4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110,5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112,3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112,7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114,6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109,6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139,5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139,5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103,0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103,0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107,4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93,5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103,4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112,7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103,8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104,5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109,7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107,2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109,4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135,3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141,8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105,7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118,9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119,5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102,9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112,7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113,4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производство прочих готовых изделий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97,6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94,5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95,4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91,6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91,8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107,0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107,4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117,2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118,7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101,5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111,1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112,3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107,3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108,5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производство, передача и распределение электроэнергии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102,8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98,8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113,8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113,2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108,1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и распределение газообразного топлива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106,8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производство, передача и распределение пара и горячей воды; кондиционирование воздуха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111,0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109,3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99,4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109,2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109,0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138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109,8</w:t>
            </w:r>
          </w:p>
        </w:tc>
      </w:tr>
      <w:tr w:rsidR="00D778B6">
        <w:tc>
          <w:tcPr>
            <w:tcW w:w="10853" w:type="dxa"/>
            <w:gridSpan w:val="8"/>
          </w:tcPr>
          <w:p w:rsidR="00D778B6" w:rsidRDefault="00571A29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 В 2022-2023 гг. по организациям, участвовавшим в наблюдении, отсутствовало производство по группе «Производство бумаги и бумажных изделий».</w:t>
            </w:r>
          </w:p>
        </w:tc>
      </w:tr>
    </w:tbl>
    <w:p w:rsidR="00D778B6" w:rsidRDefault="00D778B6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3.2. Индексы цен производителей сельскохозяйственной продукции</w:t>
      </w:r>
    </w:p>
    <w:p w:rsidR="00D778B6" w:rsidRDefault="00571A29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ноябре 2024 года индекс цен производителей се</w:t>
      </w:r>
      <w:r>
        <w:rPr>
          <w:rFonts w:ascii="Arial" w:hAnsi="Arial" w:cs="Arial"/>
          <w:highlight w:val="white"/>
        </w:rPr>
        <w:t xml:space="preserve">льскохозяйственной продукции </w:t>
      </w:r>
      <w:r>
        <w:rPr>
          <w:rFonts w:ascii="Arial" w:hAnsi="Arial" w:cs="Arial"/>
          <w:highlight w:val="white"/>
        </w:rPr>
        <w:br/>
        <w:t>по сравнению с предыдущим месяцем, по предварительным данным,</w:t>
      </w:r>
      <w:r>
        <w:rPr>
          <w:rFonts w:ascii="Arial" w:hAnsi="Arial" w:cs="Arial"/>
        </w:rPr>
        <w:t xml:space="preserve"> составил 105,0%, в том числе на продукцию растениеводства – 105,9%, на продукцию животноводства – 102,4%.</w:t>
      </w: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производителей сельскохозяйственной продукции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38"/>
        <w:gridCol w:w="1581"/>
        <w:gridCol w:w="1581"/>
        <w:gridCol w:w="1437"/>
        <w:gridCol w:w="1438"/>
        <w:gridCol w:w="1437"/>
        <w:gridCol w:w="1438"/>
      </w:tblGrid>
      <w:tr w:rsidR="00D778B6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5670" w:type="dxa"/>
            <w:gridSpan w:val="4"/>
            <w:shd w:val="clear" w:color="auto" w:fill="EBEBEB"/>
          </w:tcPr>
          <w:p w:rsidR="00D778B6" w:rsidRDefault="00571A29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 на продукцию:</w:t>
            </w:r>
          </w:p>
        </w:tc>
      </w:tr>
      <w:tr w:rsidR="00D778B6">
        <w:trPr>
          <w:trHeight w:val="207"/>
          <w:tblHeader/>
        </w:trPr>
        <w:tc>
          <w:tcPr>
            <w:tcW w:w="1814" w:type="dxa"/>
            <w:vMerge/>
            <w:shd w:val="clear" w:color="auto" w:fill="EBEBEB"/>
          </w:tcPr>
          <w:p w:rsidR="00D778B6" w:rsidRDefault="00D778B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предыдущему периоду</w:t>
            </w:r>
          </w:p>
        </w:tc>
        <w:tc>
          <w:tcPr>
            <w:tcW w:w="1559" w:type="dxa"/>
            <w:vMerge w:val="restart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декабрю предыдущего года</w:t>
            </w:r>
          </w:p>
        </w:tc>
        <w:tc>
          <w:tcPr>
            <w:tcW w:w="2835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растениеводства</w:t>
            </w:r>
          </w:p>
        </w:tc>
        <w:tc>
          <w:tcPr>
            <w:tcW w:w="2835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животноводства</w:t>
            </w:r>
          </w:p>
        </w:tc>
      </w:tr>
      <w:tr w:rsidR="00D778B6">
        <w:trPr>
          <w:tblHeader/>
        </w:trPr>
        <w:tc>
          <w:tcPr>
            <w:tcW w:w="1814" w:type="dxa"/>
            <w:vMerge/>
            <w:shd w:val="clear" w:color="auto" w:fill="EBEBEB"/>
          </w:tcPr>
          <w:p w:rsidR="00D778B6" w:rsidRDefault="00D778B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EBEBEB"/>
          </w:tcPr>
          <w:p w:rsidR="00D778B6" w:rsidRDefault="00D778B6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EBEBEB"/>
          </w:tcPr>
          <w:p w:rsidR="00D778B6" w:rsidRDefault="00D778B6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предыдущему периоду</w:t>
            </w:r>
          </w:p>
        </w:tc>
        <w:tc>
          <w:tcPr>
            <w:tcW w:w="1418" w:type="dxa"/>
            <w:shd w:val="clear" w:color="auto" w:fill="EBEBEB"/>
          </w:tcPr>
          <w:p w:rsidR="00D778B6" w:rsidRDefault="00571A2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декабрю предыдущего года</w:t>
            </w:r>
          </w:p>
        </w:tc>
        <w:tc>
          <w:tcPr>
            <w:tcW w:w="1417" w:type="dxa"/>
            <w:shd w:val="clear" w:color="auto" w:fill="EBEBEB"/>
          </w:tcPr>
          <w:p w:rsidR="00D778B6" w:rsidRDefault="00571A2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предыдущему периоду</w:t>
            </w:r>
          </w:p>
        </w:tc>
        <w:tc>
          <w:tcPr>
            <w:tcW w:w="1418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декабрю предыдущего года</w:t>
            </w:r>
          </w:p>
        </w:tc>
      </w:tr>
      <w:tr w:rsidR="00D778B6">
        <w:tc>
          <w:tcPr>
            <w:tcW w:w="10603" w:type="dxa"/>
            <w:gridSpan w:val="7"/>
            <w:vAlign w:val="bottom"/>
          </w:tcPr>
          <w:p w:rsidR="00D778B6" w:rsidRDefault="00571A29" w:rsidP="00083800">
            <w:pPr>
              <w:spacing w:before="20" w:after="1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93,4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106,6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112,1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112,1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115,2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95,4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117,0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97,1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113,6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 w:rsidP="00083800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1560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  <w:tc>
          <w:tcPr>
            <w:tcW w:w="1559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418" w:type="dxa"/>
            <w:vAlign w:val="bottom"/>
          </w:tcPr>
          <w:p w:rsidR="00D778B6" w:rsidRDefault="00571A29" w:rsidP="0008380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113,6</w:t>
            </w:r>
          </w:p>
        </w:tc>
      </w:tr>
      <w:tr w:rsidR="00D778B6">
        <w:tc>
          <w:tcPr>
            <w:tcW w:w="10603" w:type="dxa"/>
            <w:gridSpan w:val="7"/>
            <w:vAlign w:val="bottom"/>
          </w:tcPr>
          <w:p w:rsidR="00D778B6" w:rsidRDefault="00571A29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lastRenderedPageBreak/>
              <w:t>2024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56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155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14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418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4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93,3</w:t>
            </w:r>
          </w:p>
        </w:tc>
        <w:tc>
          <w:tcPr>
            <w:tcW w:w="1418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93,3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56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55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4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1418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14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1418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56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98,0</w:t>
            </w:r>
          </w:p>
        </w:tc>
        <w:tc>
          <w:tcPr>
            <w:tcW w:w="155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98,5</w:t>
            </w:r>
          </w:p>
        </w:tc>
        <w:tc>
          <w:tcPr>
            <w:tcW w:w="1418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1418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56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55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8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</w:t>
            </w:r>
          </w:p>
        </w:tc>
        <w:tc>
          <w:tcPr>
            <w:tcW w:w="1418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560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559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4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8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  <w:tc>
          <w:tcPr>
            <w:tcW w:w="14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  <w:tc>
          <w:tcPr>
            <w:tcW w:w="1418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92,8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56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  <w:tc>
          <w:tcPr>
            <w:tcW w:w="155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98,9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56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55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56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55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109,5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56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155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98,9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56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155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56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55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108,4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 xml:space="preserve">III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56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105,8</w:t>
            </w:r>
          </w:p>
        </w:tc>
        <w:tc>
          <w:tcPr>
            <w:tcW w:w="155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108,4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56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155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109,8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104,7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113,5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560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105,0</w:t>
            </w:r>
          </w:p>
        </w:tc>
        <w:tc>
          <w:tcPr>
            <w:tcW w:w="1559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115,3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120,2</w:t>
            </w:r>
          </w:p>
        </w:tc>
        <w:tc>
          <w:tcPr>
            <w:tcW w:w="14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418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103,3</w:t>
            </w:r>
          </w:p>
        </w:tc>
      </w:tr>
    </w:tbl>
    <w:p w:rsidR="00D778B6" w:rsidRDefault="00D778B6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производителей отдельных видов и групп сельскохозяйственной продукции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1"/>
        <w:gridCol w:w="1077"/>
        <w:gridCol w:w="992"/>
        <w:gridCol w:w="993"/>
        <w:gridCol w:w="1134"/>
        <w:gridCol w:w="1134"/>
        <w:gridCol w:w="1276"/>
        <w:gridCol w:w="1283"/>
      </w:tblGrid>
      <w:tr w:rsidR="00D778B6">
        <w:trPr>
          <w:tblHeader/>
        </w:trPr>
        <w:tc>
          <w:tcPr>
            <w:tcW w:w="2862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62" w:type="dxa"/>
            <w:gridSpan w:val="3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D778B6" w:rsidRDefault="00D778B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559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D778B6">
        <w:trPr>
          <w:trHeight w:val="473"/>
          <w:tblHeader/>
        </w:trPr>
        <w:tc>
          <w:tcPr>
            <w:tcW w:w="2862" w:type="dxa"/>
            <w:vMerge/>
            <w:shd w:val="clear" w:color="auto" w:fill="EBEBEB"/>
          </w:tcPr>
          <w:p w:rsidR="00D778B6" w:rsidRDefault="00D778B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EBEBEB"/>
          </w:tcPr>
          <w:p w:rsidR="00D778B6" w:rsidRPr="00083800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992" w:type="dxa"/>
            <w:shd w:val="clear" w:color="auto" w:fill="EBEBEB"/>
          </w:tcPr>
          <w:p w:rsidR="00D778B6" w:rsidRPr="00083800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октябрь 2024 г.</w:t>
            </w:r>
          </w:p>
        </w:tc>
        <w:tc>
          <w:tcPr>
            <w:tcW w:w="992" w:type="dxa"/>
            <w:shd w:val="clear" w:color="auto" w:fill="EBEBEB"/>
          </w:tcPr>
          <w:p w:rsidR="00D778B6" w:rsidRPr="00083800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ноябрь 2024 г.</w:t>
            </w:r>
          </w:p>
        </w:tc>
        <w:tc>
          <w:tcPr>
            <w:tcW w:w="1134" w:type="dxa"/>
            <w:shd w:val="clear" w:color="auto" w:fill="EBEBEB"/>
          </w:tcPr>
          <w:p w:rsidR="00D778B6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D778B6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 2023 г.</w:t>
            </w:r>
          </w:p>
        </w:tc>
        <w:tc>
          <w:tcPr>
            <w:tcW w:w="1276" w:type="dxa"/>
            <w:shd w:val="clear" w:color="auto" w:fill="EBEBEB"/>
          </w:tcPr>
          <w:p w:rsidR="00D778B6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  <w:tc>
          <w:tcPr>
            <w:tcW w:w="1283" w:type="dxa"/>
            <w:shd w:val="clear" w:color="auto" w:fill="EBEBEB"/>
          </w:tcPr>
          <w:p w:rsidR="00D778B6" w:rsidRDefault="00571A29" w:rsidP="00083800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Растениеводство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101,7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104,7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120,2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124,8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95,4</w:t>
            </w:r>
          </w:p>
        </w:tc>
        <w:tc>
          <w:tcPr>
            <w:tcW w:w="1283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94,7</w:t>
            </w:r>
          </w:p>
        </w:tc>
      </w:tr>
      <w:tr w:rsidR="00D778B6">
        <w:tc>
          <w:tcPr>
            <w:tcW w:w="2862" w:type="dxa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зерновые и зернобобовые культуры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111,2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112,3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98,6</w:t>
            </w:r>
          </w:p>
        </w:tc>
        <w:tc>
          <w:tcPr>
            <w:tcW w:w="1283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97,2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семена </w:t>
            </w:r>
          </w:p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подсолнечника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105,7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134,8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139,4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92,6</w:t>
            </w:r>
          </w:p>
        </w:tc>
        <w:tc>
          <w:tcPr>
            <w:tcW w:w="1283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92,2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овощи 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98,4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123,6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107,7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126,3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97,6</w:t>
            </w:r>
          </w:p>
        </w:tc>
        <w:tc>
          <w:tcPr>
            <w:tcW w:w="1283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картофель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122,3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106,8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196,1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191,1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69,1</w:t>
            </w:r>
          </w:p>
        </w:tc>
        <w:tc>
          <w:tcPr>
            <w:tcW w:w="1283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67,4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Животноводство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103,3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99,0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117,0</w:t>
            </w:r>
          </w:p>
        </w:tc>
        <w:tc>
          <w:tcPr>
            <w:tcW w:w="1283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118,9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крупный рогатый скот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104,5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112,4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109,5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104,6</w:t>
            </w:r>
          </w:p>
        </w:tc>
        <w:tc>
          <w:tcPr>
            <w:tcW w:w="1283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овцы и козы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118,1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107,2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127,8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131,9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92,8</w:t>
            </w:r>
          </w:p>
        </w:tc>
        <w:tc>
          <w:tcPr>
            <w:tcW w:w="1283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97,4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свиньи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96,5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103,3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108,5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102,6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114,8</w:t>
            </w:r>
          </w:p>
        </w:tc>
        <w:tc>
          <w:tcPr>
            <w:tcW w:w="1283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112,6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молоко сырое крупного рогатого скота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103,1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104,6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120,3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123,1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98,1</w:t>
            </w:r>
          </w:p>
        </w:tc>
        <w:tc>
          <w:tcPr>
            <w:tcW w:w="1283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99,2</w:t>
            </w:r>
          </w:p>
        </w:tc>
      </w:tr>
      <w:tr w:rsidR="00D778B6">
        <w:tc>
          <w:tcPr>
            <w:tcW w:w="2862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птица сельскохозяйственная </w:t>
            </w:r>
          </w:p>
        </w:tc>
        <w:tc>
          <w:tcPr>
            <w:tcW w:w="1077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98,7</w:t>
            </w:r>
          </w:p>
        </w:tc>
        <w:tc>
          <w:tcPr>
            <w:tcW w:w="992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95,6</w:t>
            </w:r>
          </w:p>
        </w:tc>
        <w:tc>
          <w:tcPr>
            <w:tcW w:w="1134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89,2</w:t>
            </w:r>
          </w:p>
        </w:tc>
        <w:tc>
          <w:tcPr>
            <w:tcW w:w="1276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139,4</w:t>
            </w:r>
          </w:p>
        </w:tc>
        <w:tc>
          <w:tcPr>
            <w:tcW w:w="1283" w:type="dxa"/>
            <w:vAlign w:val="bottom"/>
          </w:tcPr>
          <w:p w:rsidR="00D778B6" w:rsidRDefault="00571A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143,2</w:t>
            </w:r>
          </w:p>
        </w:tc>
      </w:tr>
    </w:tbl>
    <w:p w:rsidR="00083800" w:rsidRPr="00083800" w:rsidRDefault="00083800">
      <w:pPr>
        <w:jc w:val="both"/>
        <w:rPr>
          <w:rFonts w:ascii="Arial" w:hAnsi="Arial" w:cs="Arial"/>
          <w:b/>
          <w:bCs/>
          <w:color w:val="363194"/>
        </w:rPr>
      </w:pP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3.3. Индексы цен на продукцию инвестиционного назначения</w:t>
      </w:r>
    </w:p>
    <w:p w:rsidR="00D778B6" w:rsidRDefault="00D778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D778B6" w:rsidRDefault="00571A29">
      <w:pPr>
        <w:spacing w:after="240"/>
        <w:ind w:firstLine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 ноябре 2024 года сводный индекс цен на продукц</w:t>
      </w:r>
      <w:r>
        <w:rPr>
          <w:rFonts w:ascii="Arial" w:hAnsi="Arial" w:cs="Arial"/>
          <w:highlight w:val="white"/>
        </w:rPr>
        <w:t>ию (затраты, услуги) инвестиционного назначения, по предварительным данным, по сравнению с пред</w:t>
      </w:r>
      <w:r>
        <w:rPr>
          <w:rFonts w:ascii="Arial" w:hAnsi="Arial" w:cs="Arial"/>
        </w:rPr>
        <w:t>ыдущим месяцем составил 100,8%, в том числе индекс цен производителей на строительную продукцию – 100,1%, индекс цен приобретения машин и оборудования инвестиционного назначения – 101,8%, индекс цен на прочую продукцию (затраты, услуги) инвестиционного назначения – 100,1%.</w:t>
      </w:r>
      <w:proofErr w:type="gramEnd"/>
    </w:p>
    <w:p w:rsidR="00D778B6" w:rsidRDefault="00571A29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С апреля 2022 года по март 2023 года информация о сводном индексе цен на продукцию (затраты, услуги) инвестиционного назначения и индексе цен приобретения машин и оборудования инвестиционного назначения рассчитана без учета влияния валютного курса на цены приобретения импортных машин и оборудования инвестиционного назначения.</w:t>
      </w:r>
    </w:p>
    <w:p w:rsidR="00D778B6" w:rsidRDefault="00571A29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Индексы цен на продукцию (затраты, услуги) инвестиционного назначения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116"/>
        <w:gridCol w:w="1116"/>
        <w:gridCol w:w="1117"/>
        <w:gridCol w:w="1117"/>
        <w:gridCol w:w="1117"/>
        <w:gridCol w:w="1118"/>
        <w:gridCol w:w="1117"/>
        <w:gridCol w:w="1118"/>
      </w:tblGrid>
      <w:tr w:rsidR="00D778B6">
        <w:trPr>
          <w:trHeight w:val="638"/>
          <w:tblHeader/>
        </w:trPr>
        <w:tc>
          <w:tcPr>
            <w:tcW w:w="1814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vMerge w:val="restart"/>
            <w:shd w:val="clear" w:color="auto" w:fill="EBEBEB"/>
          </w:tcPr>
          <w:p w:rsidR="00D778B6" w:rsidRDefault="00571A29">
            <w:pPr>
              <w:spacing w:before="40" w:line="240" w:lineRule="exac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Сводный индекс цен на продукцию</w:t>
            </w:r>
          </w:p>
          <w:p w:rsidR="00D778B6" w:rsidRDefault="00571A29">
            <w:pPr>
              <w:spacing w:after="40" w:line="240" w:lineRule="exac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(затраты, услуги) инвестиционного назначения</w:t>
            </w:r>
          </w:p>
        </w:tc>
        <w:tc>
          <w:tcPr>
            <w:tcW w:w="6699" w:type="dxa"/>
            <w:gridSpan w:val="6"/>
            <w:shd w:val="clear" w:color="auto" w:fill="EBEBEB"/>
          </w:tcPr>
          <w:p w:rsidR="00D778B6" w:rsidRDefault="00571A29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 индексы цен:</w:t>
            </w:r>
          </w:p>
        </w:tc>
      </w:tr>
      <w:tr w:rsidR="00D778B6">
        <w:trPr>
          <w:trHeight w:val="637"/>
          <w:tblHeader/>
        </w:trPr>
        <w:tc>
          <w:tcPr>
            <w:tcW w:w="1814" w:type="dxa"/>
            <w:vMerge/>
            <w:shd w:val="clear" w:color="auto" w:fill="EBEBEB"/>
          </w:tcPr>
          <w:p w:rsidR="00D778B6" w:rsidRDefault="00D778B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vMerge/>
            <w:shd w:val="clear" w:color="auto" w:fill="EBEBEB"/>
            <w:vAlign w:val="center"/>
          </w:tcPr>
          <w:p w:rsidR="00D778B6" w:rsidRDefault="00D778B6">
            <w:pPr>
              <w:spacing w:before="40" w:line="240" w:lineRule="exac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shd w:val="clear" w:color="auto" w:fill="EBEBEB"/>
          </w:tcPr>
          <w:p w:rsidR="00D778B6" w:rsidRDefault="00571A29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производителей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на строительную продукцию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D778B6" w:rsidRDefault="00571A29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приобретения машин и оборудования инвестиционного назначения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D778B6" w:rsidRDefault="00571A29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прочую продукцию (затраты, услуги) инвестиционного назначения</w:t>
            </w:r>
          </w:p>
        </w:tc>
      </w:tr>
      <w:tr w:rsidR="00D778B6">
        <w:trPr>
          <w:tblHeader/>
        </w:trPr>
        <w:tc>
          <w:tcPr>
            <w:tcW w:w="1814" w:type="dxa"/>
            <w:vMerge/>
            <w:shd w:val="clear" w:color="auto" w:fill="EBEBEB"/>
          </w:tcPr>
          <w:p w:rsidR="00D778B6" w:rsidRDefault="00D778B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EBEBEB"/>
          </w:tcPr>
          <w:p w:rsidR="00D778B6" w:rsidRDefault="00571A2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7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:rsidR="00D778B6" w:rsidRDefault="00571A2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D778B6" w:rsidRDefault="00571A2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D778B6">
        <w:tc>
          <w:tcPr>
            <w:tcW w:w="10745" w:type="dxa"/>
            <w:gridSpan w:val="9"/>
            <w:vAlign w:val="bottom"/>
          </w:tcPr>
          <w:p w:rsidR="00D778B6" w:rsidRDefault="00571A29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</w:tr>
      <w:tr w:rsidR="00D778B6">
        <w:tc>
          <w:tcPr>
            <w:tcW w:w="10745" w:type="dxa"/>
            <w:gridSpan w:val="9"/>
            <w:vAlign w:val="bottom"/>
          </w:tcPr>
          <w:p w:rsidR="00D778B6" w:rsidRDefault="00571A29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103,2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104,7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106,4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 xml:space="preserve">III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106,4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108,6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106,4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108,4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108,2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</w:tr>
    </w:tbl>
    <w:p w:rsidR="00D778B6" w:rsidRDefault="00D778B6">
      <w:pPr>
        <w:spacing w:after="240"/>
        <w:jc w:val="both"/>
        <w:rPr>
          <w:rFonts w:ascii="Arial" w:hAnsi="Arial" w:cs="Arial"/>
          <w:b/>
          <w:bCs/>
          <w:color w:val="363194"/>
        </w:rPr>
      </w:pPr>
    </w:p>
    <w:p w:rsidR="00D778B6" w:rsidRDefault="00D778B6">
      <w:pPr>
        <w:spacing w:after="240"/>
        <w:ind w:firstLine="708"/>
        <w:jc w:val="both"/>
        <w:rPr>
          <w:rFonts w:ascii="Arial" w:hAnsi="Arial" w:cs="Arial"/>
          <w:b/>
          <w:bCs/>
          <w:color w:val="363194"/>
        </w:rPr>
      </w:pPr>
    </w:p>
    <w:p w:rsidR="00D778B6" w:rsidRDefault="00D778B6">
      <w:pPr>
        <w:spacing w:after="240"/>
        <w:ind w:firstLine="708"/>
        <w:jc w:val="both"/>
        <w:rPr>
          <w:rFonts w:ascii="Arial" w:hAnsi="Arial" w:cs="Arial"/>
          <w:b/>
          <w:bCs/>
          <w:color w:val="363194"/>
        </w:rPr>
      </w:pPr>
    </w:p>
    <w:p w:rsidR="00083800" w:rsidRDefault="00083800">
      <w:pPr>
        <w:spacing w:after="240"/>
        <w:ind w:firstLine="708"/>
        <w:jc w:val="both"/>
        <w:rPr>
          <w:rFonts w:ascii="Arial" w:hAnsi="Arial" w:cs="Arial"/>
          <w:b/>
          <w:bCs/>
          <w:color w:val="363194"/>
        </w:rPr>
      </w:pPr>
    </w:p>
    <w:p w:rsidR="00083800" w:rsidRDefault="00083800">
      <w:pPr>
        <w:spacing w:after="240"/>
        <w:ind w:firstLine="708"/>
        <w:jc w:val="both"/>
        <w:rPr>
          <w:rFonts w:ascii="Arial" w:hAnsi="Arial" w:cs="Arial"/>
          <w:b/>
          <w:bCs/>
          <w:color w:val="363194"/>
        </w:rPr>
      </w:pPr>
    </w:p>
    <w:p w:rsidR="00083800" w:rsidRDefault="00083800">
      <w:pPr>
        <w:spacing w:after="240"/>
        <w:ind w:firstLine="708"/>
        <w:jc w:val="both"/>
        <w:rPr>
          <w:rFonts w:ascii="Arial" w:hAnsi="Arial" w:cs="Arial"/>
          <w:b/>
          <w:bCs/>
          <w:color w:val="363194"/>
        </w:rPr>
      </w:pPr>
    </w:p>
    <w:p w:rsidR="00D778B6" w:rsidRDefault="00D778B6">
      <w:pPr>
        <w:spacing w:after="240"/>
        <w:ind w:firstLine="708"/>
        <w:jc w:val="both"/>
        <w:rPr>
          <w:rFonts w:ascii="Arial" w:hAnsi="Arial" w:cs="Arial"/>
          <w:b/>
          <w:bCs/>
          <w:color w:val="363194"/>
        </w:rPr>
      </w:pPr>
    </w:p>
    <w:p w:rsidR="00D778B6" w:rsidRDefault="00571A29">
      <w:pPr>
        <w:spacing w:after="240"/>
        <w:ind w:firstLine="708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Сводные индексы цен на продукцию (затраты, услуги) инвестиционного назначения по отдельным видам экономической деятельности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0"/>
        <w:gridCol w:w="1078"/>
        <w:gridCol w:w="992"/>
        <w:gridCol w:w="993"/>
        <w:gridCol w:w="1134"/>
        <w:gridCol w:w="1134"/>
        <w:gridCol w:w="1134"/>
        <w:gridCol w:w="1420"/>
      </w:tblGrid>
      <w:tr w:rsidR="00D778B6" w:rsidTr="00083800">
        <w:trPr>
          <w:tblHeader/>
        </w:trPr>
        <w:tc>
          <w:tcPr>
            <w:tcW w:w="2860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63" w:type="dxa"/>
            <w:gridSpan w:val="3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D778B6" w:rsidRDefault="00D778B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554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083800" w:rsidTr="00083800">
        <w:trPr>
          <w:trHeight w:val="473"/>
          <w:tblHeader/>
        </w:trPr>
        <w:tc>
          <w:tcPr>
            <w:tcW w:w="2860" w:type="dxa"/>
            <w:vMerge/>
            <w:shd w:val="clear" w:color="auto" w:fill="EBEBEB"/>
          </w:tcPr>
          <w:p w:rsidR="00083800" w:rsidRDefault="0008380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EBEBEB"/>
          </w:tcPr>
          <w:p w:rsidR="00083800" w:rsidRPr="00083800" w:rsidRDefault="00083800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992" w:type="dxa"/>
            <w:shd w:val="clear" w:color="auto" w:fill="EBEBEB"/>
          </w:tcPr>
          <w:p w:rsidR="00083800" w:rsidRPr="00083800" w:rsidRDefault="00083800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октябрь 2024 г.</w:t>
            </w:r>
          </w:p>
        </w:tc>
        <w:tc>
          <w:tcPr>
            <w:tcW w:w="993" w:type="dxa"/>
            <w:shd w:val="clear" w:color="auto" w:fill="EBEBEB"/>
          </w:tcPr>
          <w:p w:rsidR="00083800" w:rsidRPr="00083800" w:rsidRDefault="00083800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ноябрь 2024 г.</w:t>
            </w:r>
          </w:p>
        </w:tc>
        <w:tc>
          <w:tcPr>
            <w:tcW w:w="1134" w:type="dxa"/>
            <w:shd w:val="clear" w:color="auto" w:fill="EBEBEB"/>
          </w:tcPr>
          <w:p w:rsidR="00083800" w:rsidRDefault="00083800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083800" w:rsidRDefault="00083800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 2023 г.</w:t>
            </w:r>
          </w:p>
        </w:tc>
        <w:tc>
          <w:tcPr>
            <w:tcW w:w="1134" w:type="dxa"/>
            <w:shd w:val="clear" w:color="auto" w:fill="EBEBEB"/>
          </w:tcPr>
          <w:p w:rsidR="00083800" w:rsidRDefault="00083800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  <w:tc>
          <w:tcPr>
            <w:tcW w:w="1420" w:type="dxa"/>
            <w:shd w:val="clear" w:color="auto" w:fill="EBEBEB"/>
          </w:tcPr>
          <w:p w:rsidR="00083800" w:rsidRDefault="00083800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083800" w:rsidTr="00083800">
        <w:tc>
          <w:tcPr>
            <w:tcW w:w="2860" w:type="dxa"/>
          </w:tcPr>
          <w:p w:rsidR="00083800" w:rsidRDefault="00083800" w:rsidP="00AA4B29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106,5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111,2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112,3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108,4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102,9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103,2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109,3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109,5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производство пищевых продуктов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107,0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112,4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112,6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112,3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112,4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109,1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110,1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109,5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105,4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105,7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109,6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110,4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108,4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108,6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107,7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108,6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110,2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110,2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108,5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109,5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111,3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111,5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107,8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108,6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113,8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113,8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110,4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111,5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112,2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112,3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105,8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111,3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111,5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109,3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110,8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108,6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109,7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110,6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108,6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109,7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108,7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112,2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110,8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109,7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110,2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109,3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107,6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106,5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105,1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105,2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110,8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108,5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105,1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105,4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 w:rsidP="00AA4B29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Деятельность гостиниц и предприятий общественного питания</w:t>
            </w:r>
          </w:p>
        </w:tc>
        <w:tc>
          <w:tcPr>
            <w:tcW w:w="1078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3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111,6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112,6</w:t>
            </w:r>
          </w:p>
        </w:tc>
        <w:tc>
          <w:tcPr>
            <w:tcW w:w="1134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110,6</w:t>
            </w:r>
          </w:p>
        </w:tc>
        <w:tc>
          <w:tcPr>
            <w:tcW w:w="1420" w:type="dxa"/>
            <w:vAlign w:val="bottom"/>
          </w:tcPr>
          <w:p w:rsidR="00083800" w:rsidRDefault="00083800" w:rsidP="00AA4B2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111,6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0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102,8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104,6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107,6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  <w:tc>
          <w:tcPr>
            <w:tcW w:w="142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107,8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0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109,9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109,9</w:t>
            </w:r>
          </w:p>
        </w:tc>
        <w:tc>
          <w:tcPr>
            <w:tcW w:w="142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110,1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0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102,6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111,8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107,5</w:t>
            </w:r>
          </w:p>
        </w:tc>
        <w:tc>
          <w:tcPr>
            <w:tcW w:w="142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107,8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0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110,1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108,5</w:t>
            </w:r>
          </w:p>
        </w:tc>
        <w:tc>
          <w:tcPr>
            <w:tcW w:w="142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108,8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0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110,4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112,5</w:t>
            </w:r>
          </w:p>
        </w:tc>
        <w:tc>
          <w:tcPr>
            <w:tcW w:w="142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112,8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0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108,4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105,7</w:t>
            </w:r>
          </w:p>
        </w:tc>
        <w:tc>
          <w:tcPr>
            <w:tcW w:w="142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0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103,2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105,4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109,6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108,4</w:t>
            </w:r>
          </w:p>
        </w:tc>
        <w:tc>
          <w:tcPr>
            <w:tcW w:w="142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107,5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0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111,9</w:t>
            </w:r>
          </w:p>
        </w:tc>
        <w:tc>
          <w:tcPr>
            <w:tcW w:w="142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111,9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0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106,5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108,1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108,6</w:t>
            </w:r>
          </w:p>
        </w:tc>
        <w:tc>
          <w:tcPr>
            <w:tcW w:w="142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108,4</w:t>
            </w:r>
          </w:p>
        </w:tc>
      </w:tr>
      <w:tr w:rsidR="00083800" w:rsidTr="00083800">
        <w:tc>
          <w:tcPr>
            <w:tcW w:w="2860" w:type="dxa"/>
            <w:vAlign w:val="bottom"/>
          </w:tcPr>
          <w:p w:rsidR="00083800" w:rsidRDefault="00083800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078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102,1</w:t>
            </w:r>
          </w:p>
        </w:tc>
        <w:tc>
          <w:tcPr>
            <w:tcW w:w="992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3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134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  <w:tc>
          <w:tcPr>
            <w:tcW w:w="1420" w:type="dxa"/>
            <w:vAlign w:val="bottom"/>
          </w:tcPr>
          <w:p w:rsidR="00083800" w:rsidRDefault="000838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</w:tr>
    </w:tbl>
    <w:p w:rsidR="00D778B6" w:rsidRDefault="00D778B6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D778B6" w:rsidRDefault="00D778B6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приобретения строительными организациями основных видов материалов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1"/>
        <w:gridCol w:w="1078"/>
        <w:gridCol w:w="992"/>
        <w:gridCol w:w="992"/>
        <w:gridCol w:w="1134"/>
        <w:gridCol w:w="1134"/>
        <w:gridCol w:w="1134"/>
        <w:gridCol w:w="1420"/>
      </w:tblGrid>
      <w:tr w:rsidR="00D778B6" w:rsidTr="00AA4B29">
        <w:trPr>
          <w:tblHeader/>
        </w:trPr>
        <w:tc>
          <w:tcPr>
            <w:tcW w:w="2861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62" w:type="dxa"/>
            <w:gridSpan w:val="3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D778B6" w:rsidRDefault="00D778B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554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AA4B29" w:rsidTr="00AA4B29">
        <w:trPr>
          <w:trHeight w:val="473"/>
          <w:tblHeader/>
        </w:trPr>
        <w:tc>
          <w:tcPr>
            <w:tcW w:w="2861" w:type="dxa"/>
            <w:vMerge/>
            <w:shd w:val="clear" w:color="auto" w:fill="EBEBEB"/>
          </w:tcPr>
          <w:p w:rsidR="00AA4B29" w:rsidRDefault="00AA4B29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EBEBEB"/>
          </w:tcPr>
          <w:p w:rsidR="00AA4B29" w:rsidRPr="00083800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992" w:type="dxa"/>
            <w:shd w:val="clear" w:color="auto" w:fill="EBEBEB"/>
          </w:tcPr>
          <w:p w:rsidR="00AA4B29" w:rsidRPr="00083800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октябрь 2024 г.</w:t>
            </w:r>
          </w:p>
        </w:tc>
        <w:tc>
          <w:tcPr>
            <w:tcW w:w="992" w:type="dxa"/>
            <w:shd w:val="clear" w:color="auto" w:fill="EBEBEB"/>
          </w:tcPr>
          <w:p w:rsidR="00AA4B29" w:rsidRPr="00083800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ноябрь 2024 г.</w:t>
            </w:r>
          </w:p>
        </w:tc>
        <w:tc>
          <w:tcPr>
            <w:tcW w:w="1134" w:type="dxa"/>
            <w:shd w:val="clear" w:color="auto" w:fill="EBEBEB"/>
          </w:tcPr>
          <w:p w:rsidR="00AA4B29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AA4B29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 2023 г.</w:t>
            </w:r>
          </w:p>
        </w:tc>
        <w:tc>
          <w:tcPr>
            <w:tcW w:w="1134" w:type="dxa"/>
            <w:shd w:val="clear" w:color="auto" w:fill="EBEBEB"/>
          </w:tcPr>
          <w:p w:rsidR="00AA4B29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  <w:tc>
          <w:tcPr>
            <w:tcW w:w="1420" w:type="dxa"/>
            <w:shd w:val="clear" w:color="auto" w:fill="EBEBEB"/>
          </w:tcPr>
          <w:p w:rsidR="00AA4B29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AA4B29" w:rsidTr="00AA4B29">
        <w:tc>
          <w:tcPr>
            <w:tcW w:w="2861" w:type="dxa"/>
          </w:tcPr>
          <w:p w:rsidR="00AA4B29" w:rsidRDefault="00AA4B2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Кирпич керамический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неогнеупорный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строительный</w:t>
            </w:r>
          </w:p>
        </w:tc>
        <w:tc>
          <w:tcPr>
            <w:tcW w:w="1078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102,3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90,6</w:t>
            </w:r>
          </w:p>
        </w:tc>
        <w:tc>
          <w:tcPr>
            <w:tcW w:w="1420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90,6</w:t>
            </w:r>
          </w:p>
        </w:tc>
      </w:tr>
      <w:tr w:rsidR="00AA4B29" w:rsidTr="00AA4B29">
        <w:tc>
          <w:tcPr>
            <w:tcW w:w="2861" w:type="dxa"/>
          </w:tcPr>
          <w:p w:rsidR="00AA4B29" w:rsidRDefault="00AA4B2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  <w:tc>
          <w:tcPr>
            <w:tcW w:w="1078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97,1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98,5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143,2</w:t>
            </w:r>
          </w:p>
        </w:tc>
        <w:tc>
          <w:tcPr>
            <w:tcW w:w="1420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143,2</w:t>
            </w:r>
          </w:p>
        </w:tc>
      </w:tr>
      <w:tr w:rsidR="00AA4B29" w:rsidTr="00AA4B29">
        <w:tc>
          <w:tcPr>
            <w:tcW w:w="2861" w:type="dxa"/>
            <w:vAlign w:val="bottom"/>
          </w:tcPr>
          <w:p w:rsidR="00AA4B29" w:rsidRDefault="00AA4B2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Бетон готовый для заливки (товарный бетон)</w:t>
            </w:r>
          </w:p>
        </w:tc>
        <w:tc>
          <w:tcPr>
            <w:tcW w:w="1078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103,4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104,2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103,2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117,2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118,7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  <w:tc>
          <w:tcPr>
            <w:tcW w:w="1420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</w:tr>
      <w:tr w:rsidR="00AA4B29" w:rsidTr="00AA4B29">
        <w:tc>
          <w:tcPr>
            <w:tcW w:w="2861" w:type="dxa"/>
            <w:vAlign w:val="bottom"/>
          </w:tcPr>
          <w:p w:rsidR="00AA4B29" w:rsidRDefault="00AA4B2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Растворы строительные</w:t>
            </w:r>
          </w:p>
        </w:tc>
        <w:tc>
          <w:tcPr>
            <w:tcW w:w="1078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93,6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102,1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90,3</w:t>
            </w:r>
          </w:p>
        </w:tc>
        <w:tc>
          <w:tcPr>
            <w:tcW w:w="1420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90,3</w:t>
            </w:r>
          </w:p>
        </w:tc>
      </w:tr>
      <w:tr w:rsidR="00AA4B29" w:rsidTr="00AA4B29">
        <w:tc>
          <w:tcPr>
            <w:tcW w:w="2861" w:type="dxa"/>
            <w:vAlign w:val="bottom"/>
          </w:tcPr>
          <w:p w:rsidR="00AA4B29" w:rsidRDefault="00AA4B2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Щебень</w:t>
            </w:r>
          </w:p>
        </w:tc>
        <w:tc>
          <w:tcPr>
            <w:tcW w:w="1078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99,0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98,8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98,4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80,2</w:t>
            </w:r>
          </w:p>
        </w:tc>
        <w:tc>
          <w:tcPr>
            <w:tcW w:w="1420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81,2</w:t>
            </w:r>
          </w:p>
        </w:tc>
      </w:tr>
      <w:tr w:rsidR="00AA4B29" w:rsidTr="00AA4B29">
        <w:tc>
          <w:tcPr>
            <w:tcW w:w="2861" w:type="dxa"/>
            <w:vAlign w:val="bottom"/>
          </w:tcPr>
          <w:p w:rsidR="00AA4B29" w:rsidRDefault="00AA4B29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Пески природные</w:t>
            </w:r>
          </w:p>
        </w:tc>
        <w:tc>
          <w:tcPr>
            <w:tcW w:w="1078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86,5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143,1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140,3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80,0</w:t>
            </w:r>
          </w:p>
        </w:tc>
        <w:tc>
          <w:tcPr>
            <w:tcW w:w="1420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86,9</w:t>
            </w:r>
          </w:p>
        </w:tc>
      </w:tr>
    </w:tbl>
    <w:p w:rsidR="00D778B6" w:rsidRDefault="00D778B6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D778B6" w:rsidRDefault="00D778B6">
      <w:pPr>
        <w:jc w:val="both"/>
        <w:rPr>
          <w:rFonts w:ascii="Arial" w:hAnsi="Arial" w:cs="Arial"/>
          <w:b/>
          <w:bCs/>
          <w:color w:val="363194"/>
        </w:rPr>
      </w:pPr>
    </w:p>
    <w:p w:rsidR="00D778B6" w:rsidRDefault="00D778B6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D778B6" w:rsidRDefault="00D778B6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AA4B29" w:rsidRDefault="00AA4B2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D778B6" w:rsidRDefault="00D778B6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D778B6" w:rsidRDefault="00D778B6">
      <w:pPr>
        <w:jc w:val="both"/>
        <w:rPr>
          <w:rFonts w:ascii="Arial" w:hAnsi="Arial" w:cs="Arial"/>
          <w:b/>
          <w:bCs/>
          <w:color w:val="363194"/>
        </w:rPr>
      </w:pP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3.4. Индексы тарифов на грузовые перевозки</w:t>
      </w:r>
    </w:p>
    <w:p w:rsidR="00D778B6" w:rsidRDefault="00D77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778B6" w:rsidRDefault="00571A29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Индекс тарифов на грузовые перевозки в ноябре</w:t>
      </w:r>
      <w:r>
        <w:rPr>
          <w:rFonts w:ascii="Arial" w:hAnsi="Arial" w:cs="Arial"/>
          <w:highlight w:val="white"/>
        </w:rPr>
        <w:t xml:space="preserve"> 2024 года в среднем по всем видам транспорта, по предварительным данным</w:t>
      </w:r>
      <w:r>
        <w:rPr>
          <w:rFonts w:ascii="Arial" w:hAnsi="Arial" w:cs="Arial"/>
        </w:rPr>
        <w:t>, составил 100,0%.</w:t>
      </w: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тарифов на грузовые перевозки отдельными видами транспорта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116"/>
        <w:gridCol w:w="1116"/>
        <w:gridCol w:w="1117"/>
        <w:gridCol w:w="1116"/>
        <w:gridCol w:w="1116"/>
        <w:gridCol w:w="1117"/>
        <w:gridCol w:w="1116"/>
        <w:gridCol w:w="1117"/>
      </w:tblGrid>
      <w:tr w:rsidR="00D778B6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6699" w:type="dxa"/>
            <w:gridSpan w:val="6"/>
            <w:shd w:val="clear" w:color="auto" w:fill="EBEBEB"/>
          </w:tcPr>
          <w:p w:rsidR="00D778B6" w:rsidRDefault="00571A29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него транспорт:</w:t>
            </w:r>
          </w:p>
        </w:tc>
      </w:tr>
      <w:tr w:rsidR="00D778B6">
        <w:trPr>
          <w:trHeight w:val="207"/>
          <w:tblHeader/>
        </w:trPr>
        <w:tc>
          <w:tcPr>
            <w:tcW w:w="1814" w:type="dxa"/>
            <w:vMerge/>
            <w:shd w:val="clear" w:color="auto" w:fill="EBEBEB"/>
          </w:tcPr>
          <w:p w:rsidR="00D778B6" w:rsidRDefault="00D778B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vMerge w:val="restart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железнодорожный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автомобильный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трубопроводный</w:t>
            </w:r>
          </w:p>
        </w:tc>
      </w:tr>
      <w:tr w:rsidR="00D778B6">
        <w:trPr>
          <w:tblHeader/>
        </w:trPr>
        <w:tc>
          <w:tcPr>
            <w:tcW w:w="1814" w:type="dxa"/>
            <w:vMerge/>
            <w:shd w:val="clear" w:color="auto" w:fill="EBEBEB"/>
          </w:tcPr>
          <w:p w:rsidR="00D778B6" w:rsidRDefault="00D778B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:rsidR="00D778B6" w:rsidRDefault="00D778B6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:rsidR="00D778B6" w:rsidRDefault="00D778B6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:rsidR="00D778B6" w:rsidRDefault="00571A2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D778B6" w:rsidRDefault="00571A29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D778B6">
        <w:tc>
          <w:tcPr>
            <w:tcW w:w="10745" w:type="dxa"/>
            <w:gridSpan w:val="9"/>
            <w:vAlign w:val="bottom"/>
          </w:tcPr>
          <w:p w:rsidR="00D778B6" w:rsidRDefault="00571A29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92,8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111,9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105,1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106,8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121,9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112,2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V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97,5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106,8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121,9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112,2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86,0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</w:tr>
      <w:tr w:rsidR="00D778B6">
        <w:tc>
          <w:tcPr>
            <w:tcW w:w="10745" w:type="dxa"/>
            <w:gridSpan w:val="9"/>
            <w:vAlign w:val="bottom"/>
          </w:tcPr>
          <w:p w:rsidR="00D778B6" w:rsidRDefault="00571A29">
            <w:pPr>
              <w:spacing w:before="2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iCs/>
                <w:color w:val="363194"/>
                <w:sz w:val="18"/>
                <w:szCs w:val="18"/>
              </w:rPr>
              <w:t>2024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D778B6"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107,4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106,9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116,8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113,4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113,4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113,4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107,4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116,8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113,4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114,8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115,2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130,7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114,8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130,7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114,8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130,7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 xml:space="preserve">III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114,8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115,2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130,7</w:t>
            </w:r>
          </w:p>
        </w:tc>
      </w:tr>
      <w:tr w:rsidR="00D778B6">
        <w:trPr>
          <w:trHeight w:val="207"/>
        </w:trPr>
        <w:tc>
          <w:tcPr>
            <w:tcW w:w="1814" w:type="dxa"/>
            <w:vMerge w:val="restart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91,2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104,6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82,8</w:t>
            </w:r>
          </w:p>
        </w:tc>
        <w:tc>
          <w:tcPr>
            <w:tcW w:w="1117" w:type="dxa"/>
            <w:vMerge w:val="restart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108,2</w:t>
            </w:r>
          </w:p>
        </w:tc>
      </w:tr>
      <w:tr w:rsidR="00D778B6">
        <w:trPr>
          <w:trHeight w:val="207"/>
        </w:trPr>
        <w:tc>
          <w:tcPr>
            <w:tcW w:w="1814" w:type="dxa"/>
            <w:vAlign w:val="bottom"/>
          </w:tcPr>
          <w:p w:rsidR="00D778B6" w:rsidRDefault="00571A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104,6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D778B6" w:rsidRDefault="00571A29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108,2</w:t>
            </w:r>
          </w:p>
        </w:tc>
      </w:tr>
    </w:tbl>
    <w:p w:rsidR="00AA4B29" w:rsidRDefault="00AA4B2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AA4B29" w:rsidRDefault="00AA4B2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AA4B29" w:rsidRDefault="00AA4B2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AA4B29" w:rsidRDefault="00AA4B2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AA4B29" w:rsidRDefault="00AA4B2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AA4B29" w:rsidRDefault="00AA4B2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AA4B29" w:rsidRDefault="00AA4B29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D778B6" w:rsidRDefault="00571A29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Индексы тарифов на грузовые перевозки по видам транспорта</w:t>
      </w:r>
    </w:p>
    <w:p w:rsidR="00D778B6" w:rsidRDefault="00571A29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0"/>
        <w:gridCol w:w="1078"/>
        <w:gridCol w:w="992"/>
        <w:gridCol w:w="993"/>
        <w:gridCol w:w="1134"/>
        <w:gridCol w:w="1134"/>
        <w:gridCol w:w="1134"/>
        <w:gridCol w:w="1420"/>
      </w:tblGrid>
      <w:tr w:rsidR="00D778B6" w:rsidTr="00AA4B29">
        <w:trPr>
          <w:tblHeader/>
        </w:trPr>
        <w:tc>
          <w:tcPr>
            <w:tcW w:w="2860" w:type="dxa"/>
            <w:vMerge w:val="restart"/>
            <w:shd w:val="clear" w:color="auto" w:fill="EBEBEB"/>
          </w:tcPr>
          <w:p w:rsidR="00D778B6" w:rsidRDefault="00D778B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63" w:type="dxa"/>
            <w:gridSpan w:val="3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D778B6" w:rsidRDefault="00D778B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554" w:type="dxa"/>
            <w:gridSpan w:val="2"/>
            <w:shd w:val="clear" w:color="auto" w:fill="EBEBEB"/>
          </w:tcPr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D778B6" w:rsidRDefault="00571A29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AA4B29" w:rsidTr="00AA4B29">
        <w:trPr>
          <w:trHeight w:val="470"/>
          <w:tblHeader/>
        </w:trPr>
        <w:tc>
          <w:tcPr>
            <w:tcW w:w="2860" w:type="dxa"/>
            <w:vMerge/>
            <w:shd w:val="clear" w:color="auto" w:fill="EBEBEB"/>
          </w:tcPr>
          <w:p w:rsidR="00AA4B29" w:rsidRDefault="00AA4B29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EBEBEB"/>
          </w:tcPr>
          <w:p w:rsidR="00AA4B29" w:rsidRPr="00083800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992" w:type="dxa"/>
            <w:shd w:val="clear" w:color="auto" w:fill="EBEBEB"/>
          </w:tcPr>
          <w:p w:rsidR="00AA4B29" w:rsidRPr="00083800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октябрь 2024 г.</w:t>
            </w:r>
          </w:p>
        </w:tc>
        <w:tc>
          <w:tcPr>
            <w:tcW w:w="993" w:type="dxa"/>
            <w:shd w:val="clear" w:color="auto" w:fill="EBEBEB"/>
          </w:tcPr>
          <w:p w:rsidR="00AA4B29" w:rsidRPr="00083800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83800">
              <w:rPr>
                <w:rFonts w:ascii="Arial" w:hAnsi="Arial" w:cs="Arial"/>
                <w:color w:val="282A2E"/>
                <w:sz w:val="18"/>
                <w:szCs w:val="18"/>
              </w:rPr>
              <w:t>ноябрь 2024 г.</w:t>
            </w:r>
          </w:p>
        </w:tc>
        <w:tc>
          <w:tcPr>
            <w:tcW w:w="1134" w:type="dxa"/>
            <w:shd w:val="clear" w:color="auto" w:fill="EBEBEB"/>
          </w:tcPr>
          <w:p w:rsidR="00AA4B29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AA4B29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 2023 г.</w:t>
            </w:r>
          </w:p>
        </w:tc>
        <w:tc>
          <w:tcPr>
            <w:tcW w:w="1134" w:type="dxa"/>
            <w:shd w:val="clear" w:color="auto" w:fill="EBEBEB"/>
          </w:tcPr>
          <w:p w:rsidR="00AA4B29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  <w:tc>
          <w:tcPr>
            <w:tcW w:w="1420" w:type="dxa"/>
            <w:shd w:val="clear" w:color="auto" w:fill="EBEBEB"/>
          </w:tcPr>
          <w:p w:rsidR="00AA4B29" w:rsidRDefault="00AA4B29" w:rsidP="005C1812">
            <w:pPr>
              <w:tabs>
                <w:tab w:val="left" w:pos="493"/>
              </w:tabs>
              <w:spacing w:before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AA4B29" w:rsidTr="00AA4B29">
        <w:tc>
          <w:tcPr>
            <w:tcW w:w="2860" w:type="dxa"/>
          </w:tcPr>
          <w:p w:rsidR="00AA4B29" w:rsidRDefault="00AA4B29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Грузовой транспорт</w:t>
            </w:r>
          </w:p>
        </w:tc>
        <w:tc>
          <w:tcPr>
            <w:tcW w:w="1078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91,2</w:t>
            </w:r>
          </w:p>
        </w:tc>
        <w:tc>
          <w:tcPr>
            <w:tcW w:w="993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104,6</w:t>
            </w:r>
          </w:p>
        </w:tc>
        <w:tc>
          <w:tcPr>
            <w:tcW w:w="1134" w:type="dxa"/>
          </w:tcPr>
          <w:p w:rsidR="00AA4B29" w:rsidRDefault="00AA4B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110,0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101,6</w:t>
            </w:r>
          </w:p>
        </w:tc>
        <w:tc>
          <w:tcPr>
            <w:tcW w:w="1420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101,6</w:t>
            </w:r>
          </w:p>
        </w:tc>
      </w:tr>
      <w:tr w:rsidR="00AA4B29" w:rsidTr="00AA4B29">
        <w:tc>
          <w:tcPr>
            <w:tcW w:w="2860" w:type="dxa"/>
          </w:tcPr>
          <w:p w:rsidR="00AA4B29" w:rsidRDefault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078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4B29" w:rsidTr="00AA4B29">
        <w:tc>
          <w:tcPr>
            <w:tcW w:w="2860" w:type="dxa"/>
            <w:vAlign w:val="bottom"/>
          </w:tcPr>
          <w:p w:rsidR="00AA4B29" w:rsidRDefault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железнодорожный</w:t>
            </w:r>
          </w:p>
        </w:tc>
        <w:tc>
          <w:tcPr>
            <w:tcW w:w="1078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110,1</w:t>
            </w:r>
          </w:p>
        </w:tc>
        <w:tc>
          <w:tcPr>
            <w:tcW w:w="1420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110,1</w:t>
            </w:r>
          </w:p>
        </w:tc>
      </w:tr>
      <w:tr w:rsidR="00AA4B29" w:rsidTr="00AA4B29">
        <w:tc>
          <w:tcPr>
            <w:tcW w:w="2860" w:type="dxa"/>
            <w:vAlign w:val="bottom"/>
          </w:tcPr>
          <w:p w:rsidR="00AA4B29" w:rsidRDefault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автомобильный</w:t>
            </w:r>
          </w:p>
        </w:tc>
        <w:tc>
          <w:tcPr>
            <w:tcW w:w="1078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123,3</w:t>
            </w:r>
          </w:p>
        </w:tc>
        <w:tc>
          <w:tcPr>
            <w:tcW w:w="1134" w:type="dxa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123,3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111,9</w:t>
            </w:r>
          </w:p>
        </w:tc>
        <w:tc>
          <w:tcPr>
            <w:tcW w:w="1420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111,9</w:t>
            </w:r>
          </w:p>
        </w:tc>
      </w:tr>
      <w:tr w:rsidR="00AA4B29" w:rsidTr="00AA4B29">
        <w:tc>
          <w:tcPr>
            <w:tcW w:w="2860" w:type="dxa"/>
            <w:vAlign w:val="bottom"/>
          </w:tcPr>
          <w:p w:rsidR="00AA4B29" w:rsidRDefault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внутренний водный</w:t>
            </w:r>
          </w:p>
        </w:tc>
        <w:tc>
          <w:tcPr>
            <w:tcW w:w="1078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  <w:tc>
          <w:tcPr>
            <w:tcW w:w="1134" w:type="dxa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102,9</w:t>
            </w:r>
          </w:p>
        </w:tc>
        <w:tc>
          <w:tcPr>
            <w:tcW w:w="1420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96,8</w:t>
            </w:r>
          </w:p>
        </w:tc>
      </w:tr>
      <w:tr w:rsidR="00AA4B29" w:rsidTr="00AA4B29">
        <w:tc>
          <w:tcPr>
            <w:tcW w:w="2860" w:type="dxa"/>
            <w:vAlign w:val="bottom"/>
          </w:tcPr>
          <w:p w:rsidR="00AA4B29" w:rsidRDefault="00AA4B2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трубопроводный</w:t>
            </w:r>
          </w:p>
        </w:tc>
        <w:tc>
          <w:tcPr>
            <w:tcW w:w="1078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82,8</w:t>
            </w:r>
          </w:p>
        </w:tc>
        <w:tc>
          <w:tcPr>
            <w:tcW w:w="993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  <w:tc>
          <w:tcPr>
            <w:tcW w:w="1134" w:type="dxa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  <w:tc>
          <w:tcPr>
            <w:tcW w:w="1134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93,7</w:t>
            </w:r>
          </w:p>
        </w:tc>
        <w:tc>
          <w:tcPr>
            <w:tcW w:w="1420" w:type="dxa"/>
            <w:vAlign w:val="bottom"/>
          </w:tcPr>
          <w:p w:rsidR="00AA4B29" w:rsidRDefault="00AA4B2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93,7</w:t>
            </w:r>
          </w:p>
        </w:tc>
      </w:tr>
    </w:tbl>
    <w:p w:rsidR="00D778B6" w:rsidRDefault="00D778B6"/>
    <w:sectPr w:rsidR="00D778B6" w:rsidSect="00FD2AD2">
      <w:footerReference w:type="default" r:id="rId15"/>
      <w:headerReference w:type="first" r:id="rId16"/>
      <w:footerReference w:type="first" r:id="rId17"/>
      <w:pgSz w:w="11906" w:h="16838"/>
      <w:pgMar w:top="1134" w:right="567" w:bottom="1134" w:left="709" w:header="709" w:footer="125" w:gutter="0"/>
      <w:pgNumType w:start="3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A8F" w:rsidRDefault="00A51A8F">
      <w:pPr>
        <w:spacing w:after="0" w:line="240" w:lineRule="auto"/>
      </w:pPr>
      <w:r>
        <w:separator/>
      </w:r>
    </w:p>
  </w:endnote>
  <w:endnote w:type="continuationSeparator" w:id="0">
    <w:p w:rsidR="00A51A8F" w:rsidRDefault="00A51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8761317"/>
      <w:docPartObj>
        <w:docPartGallery w:val="Page Numbers (Bottom of Page)"/>
        <w:docPartUnique/>
      </w:docPartObj>
    </w:sdtPr>
    <w:sdtEndPr/>
    <w:sdtContent>
      <w:p w:rsidR="000A3167" w:rsidRDefault="000A3167">
        <w:pPr>
          <w:pStyle w:val="af7"/>
          <w:jc w:val="center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>PAGE   \* MERGEFORMAT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 w:rsidR="00FD2AD2">
          <w:rPr>
            <w:rFonts w:ascii="Arial" w:hAnsi="Arial" w:cs="Arial"/>
            <w:noProof/>
            <w:sz w:val="24"/>
            <w:szCs w:val="24"/>
          </w:rPr>
          <w:t>51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0A3167" w:rsidRDefault="000A316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0813809"/>
      <w:docPartObj>
        <w:docPartGallery w:val="Page Numbers (Bottom of Page)"/>
        <w:docPartUnique/>
      </w:docPartObj>
    </w:sdtPr>
    <w:sdtEndPr/>
    <w:sdtContent>
      <w:p w:rsidR="000A3167" w:rsidRDefault="000A3167">
        <w:pPr>
          <w:pStyle w:val="af7"/>
          <w:jc w:val="center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>PAGE   \* MERGEFORMAT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 w:rsidR="00FD2AD2">
          <w:rPr>
            <w:rFonts w:ascii="Arial" w:hAnsi="Arial" w:cs="Arial"/>
            <w:noProof/>
            <w:sz w:val="24"/>
            <w:szCs w:val="24"/>
          </w:rPr>
          <w:t>39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0A3167" w:rsidRDefault="000A3167">
    <w:pPr>
      <w:pStyle w:val="af7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A8F" w:rsidRDefault="00A51A8F">
      <w:pPr>
        <w:spacing w:after="0" w:line="240" w:lineRule="auto"/>
      </w:pPr>
      <w:r>
        <w:separator/>
      </w:r>
    </w:p>
  </w:footnote>
  <w:footnote w:type="continuationSeparator" w:id="0">
    <w:p w:rsidR="00A51A8F" w:rsidRDefault="00A51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67" w:rsidRDefault="000A3167">
    <w:pPr>
      <w:pStyle w:val="af5"/>
      <w:spacing w:after="240"/>
      <w:ind w:left="1247" w:right="1984"/>
      <w:rPr>
        <w:rFonts w:ascii="Arial" w:hAnsi="Arial" w:cs="Arial"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D5E5D"/>
    <w:multiLevelType w:val="hybridMultilevel"/>
    <w:tmpl w:val="B956B5CC"/>
    <w:lvl w:ilvl="0" w:tplc="EA6A7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BA458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A4B2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200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7C5B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0859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965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FA8B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944F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E12D26"/>
    <w:multiLevelType w:val="hybridMultilevel"/>
    <w:tmpl w:val="97C025C0"/>
    <w:lvl w:ilvl="0" w:tplc="9154E07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EBA9340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90C2035A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12CAB90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F4E3EB0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597A2A5C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75AE38AE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BEDEEEFE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B0A9FCC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B6"/>
    <w:rsid w:val="00083800"/>
    <w:rsid w:val="000A3167"/>
    <w:rsid w:val="003B7194"/>
    <w:rsid w:val="00571A29"/>
    <w:rsid w:val="00A51A8F"/>
    <w:rsid w:val="00AA4B29"/>
    <w:rsid w:val="00D778B6"/>
    <w:rsid w:val="00FD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36319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975D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EA69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5A9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0D0B1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CAB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C37A7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EA59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46EC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CCFAF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970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  <w:insideV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C37A7" w:themeColor="accent1" w:themeTint="EA"/>
          <w:left w:val="single" w:sz="4" w:space="0" w:color="3C37A7" w:themeColor="accent1" w:themeTint="EA"/>
          <w:bottom w:val="single" w:sz="4" w:space="0" w:color="3C37A7" w:themeColor="accent1" w:themeTint="EA"/>
          <w:right w:val="single" w:sz="4" w:space="0" w:color="3C37A7" w:themeColor="accent1" w:themeTint="EA"/>
        </w:tcBorders>
        <w:shd w:val="clear" w:color="3C37A7" w:themeColor="accent1" w:themeTint="EA" w:fill="3C37A7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  <w:insideV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EA591" w:themeColor="accent2" w:themeTint="97"/>
          <w:left w:val="single" w:sz="4" w:space="0" w:color="EEA591" w:themeColor="accent2" w:themeTint="97"/>
          <w:bottom w:val="single" w:sz="4" w:space="0" w:color="EEA591" w:themeColor="accent2" w:themeTint="97"/>
          <w:right w:val="single" w:sz="4" w:space="0" w:color="EEA591" w:themeColor="accent2" w:themeTint="97"/>
        </w:tcBorders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  <w:insideV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46EC2" w:themeColor="accent3" w:themeTint="FE"/>
          <w:left w:val="single" w:sz="4" w:space="0" w:color="346EC2" w:themeColor="accent3" w:themeTint="FE"/>
          <w:bottom w:val="single" w:sz="4" w:space="0" w:color="346EC2" w:themeColor="accent3" w:themeTint="FE"/>
          <w:right w:val="single" w:sz="4" w:space="0" w:color="346EC2" w:themeColor="accent3" w:themeTint="FE"/>
        </w:tcBorders>
        <w:shd w:val="clear" w:color="346EC2" w:themeColor="accent3" w:themeTint="FE" w:fill="346EC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  <w:insideV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CCFAF" w:themeColor="accent4" w:themeTint="9A"/>
          <w:left w:val="single" w:sz="4" w:space="0" w:color="8CCFAF" w:themeColor="accent4" w:themeTint="9A"/>
          <w:bottom w:val="single" w:sz="4" w:space="0" w:color="8CCFAF" w:themeColor="accent4" w:themeTint="9A"/>
          <w:right w:val="single" w:sz="4" w:space="0" w:color="8CCFAF" w:themeColor="accent4" w:themeTint="9A"/>
        </w:tcBorders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970" w:themeColor="accent6"/>
          <w:left w:val="single" w:sz="4" w:space="0" w:color="FFA970" w:themeColor="accent6"/>
          <w:bottom w:val="single" w:sz="4" w:space="0" w:color="FFA970" w:themeColor="accent6"/>
          <w:right w:val="single" w:sz="4" w:space="0" w:color="FFA970" w:themeColor="accent6"/>
        </w:tcBorders>
        <w:shd w:val="clear" w:color="FFA970" w:themeColor="accent6" w:fill="FFA970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0CEEF" w:themeColor="accent1" w:themeTint="34" w:fill="D0CEEF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3194" w:themeColor="accent1" w:fill="36319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band1Vert">
      <w:tblPr/>
      <w:tcPr>
        <w:shd w:val="clear" w:color="9693DB" w:themeColor="accent1" w:themeTint="75" w:fill="9693DB" w:themeFill="accent1" w:themeFillTint="75"/>
      </w:tcPr>
    </w:tblStylePr>
    <w:tblStylePr w:type="band1Horz">
      <w:tblPr/>
      <w:tcPr>
        <w:shd w:val="clear" w:color="9693DB" w:themeColor="accent1" w:themeTint="75" w:fill="9693D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9E1DA" w:themeColor="accent2" w:themeTint="32" w:fill="F9E1DA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36846" w:themeColor="accent2" w:fill="E3684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band1Vert">
      <w:tblPr/>
      <w:tcPr>
        <w:shd w:val="clear" w:color="F2B9A9" w:themeColor="accent2" w:themeTint="75" w:fill="F2B9A9" w:themeFill="accent2" w:themeFillTint="75"/>
      </w:tcPr>
    </w:tblStylePr>
    <w:tblStylePr w:type="band1Horz">
      <w:tblPr/>
      <w:tcPr>
        <w:shd w:val="clear" w:color="F2B9A9" w:themeColor="accent2" w:themeTint="75" w:fill="F2B9A9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1F3" w:themeColor="accent3" w:themeTint="34" w:fill="D4E1F3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46FC2" w:themeColor="accent3" w:fill="346FC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band1Vert">
      <w:tblPr/>
      <w:tcPr>
        <w:shd w:val="clear" w:color="9FBCE5" w:themeColor="accent3" w:themeTint="75" w:fill="9FBCE5" w:themeFill="accent3" w:themeFillTint="75"/>
      </w:tcPr>
    </w:tblStylePr>
    <w:tblStylePr w:type="band1Horz">
      <w:tblPr/>
      <w:tcPr>
        <w:shd w:val="clear" w:color="9FBCE5" w:themeColor="accent3" w:themeTint="75" w:fill="9FBCE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EE3" w:themeColor="accent4" w:themeTint="34" w:fill="D8EEE3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7AA7B" w:themeColor="accent4" w:fill="47AA7B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band1Vert">
      <w:tblPr/>
      <w:tcPr>
        <w:shd w:val="clear" w:color="A7DAC2" w:themeColor="accent4" w:themeTint="75" w:fill="A7DAC2" w:themeFill="accent4" w:themeFillTint="75"/>
      </w:tcPr>
    </w:tblStylePr>
    <w:tblStylePr w:type="band1Horz">
      <w:tblPr/>
      <w:tcPr>
        <w:shd w:val="clear" w:color="A7DAC2" w:themeColor="accent4" w:themeTint="75" w:fill="A7DAC2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DE1" w:themeColor="accent6" w:themeTint="34" w:fill="FFEDE1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A970" w:themeColor="accent6" w:fill="FFA970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band1Vert">
      <w:tblPr/>
      <w:tcPr>
        <w:shd w:val="clear" w:color="FFD7BD" w:themeColor="accent6" w:themeTint="75" w:fill="FFD7BD" w:themeFill="accent6" w:themeFillTint="75"/>
      </w:tcPr>
    </w:tblStylePr>
    <w:tblStylePr w:type="band1Horz">
      <w:tblPr/>
      <w:tcPr>
        <w:shd w:val="clear" w:color="FFD7BD" w:themeColor="accent6" w:themeTint="75" w:fill="FFD7BD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88D7" w:themeColor="accent1" w:themeTint="80"/>
        <w:left w:val="single" w:sz="4" w:space="0" w:color="8C88D7" w:themeColor="accent1" w:themeTint="80"/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88D7" w:themeColor="accent1" w:themeTint="80" w:themeShade="95"/>
      </w:rPr>
      <w:tblPr/>
      <w:tcPr>
        <w:tcBorders>
          <w:bottom w:val="single" w:sz="12" w:space="0" w:color="8C88D7" w:themeColor="accent1" w:themeTint="80"/>
        </w:tcBorders>
      </w:tcPr>
    </w:tblStylePr>
    <w:tblStylePr w:type="lastRow">
      <w:rPr>
        <w:b/>
        <w:color w:val="8C88D7" w:themeColor="accent1" w:themeTint="80" w:themeShade="95"/>
      </w:rPr>
    </w:tblStylePr>
    <w:tblStylePr w:type="firstCol">
      <w:rPr>
        <w:b/>
        <w:color w:val="8C88D7" w:themeColor="accent1" w:themeTint="80" w:themeShade="95"/>
      </w:rPr>
    </w:tblStylePr>
    <w:tblStylePr w:type="lastCol">
      <w:rPr>
        <w:b/>
        <w:color w:val="8C88D7" w:themeColor="accent1" w:themeTint="80" w:themeShade="95"/>
      </w:r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46EC2" w:themeColor="accent3" w:themeTint="FE"/>
        <w:left w:val="single" w:sz="4" w:space="0" w:color="346EC2" w:themeColor="accent3" w:themeTint="FE"/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46EC2" w:themeColor="accent3" w:themeTint="FE" w:themeShade="95"/>
      </w:rPr>
      <w:tblPr/>
      <w:tcPr>
        <w:tcBorders>
          <w:bottom w:val="single" w:sz="12" w:space="0" w:color="346EC2" w:themeColor="accent3" w:themeTint="FE"/>
        </w:tcBorders>
      </w:tcPr>
    </w:tblStylePr>
    <w:tblStylePr w:type="lastRow">
      <w:rPr>
        <w:b/>
        <w:color w:val="346EC2" w:themeColor="accent3" w:themeTint="FE" w:themeShade="95"/>
      </w:rPr>
    </w:tblStylePr>
    <w:tblStylePr w:type="firstCol">
      <w:rPr>
        <w:b/>
        <w:color w:val="346EC2" w:themeColor="accent3" w:themeTint="FE" w:themeShade="95"/>
      </w:rPr>
    </w:tblStylePr>
    <w:tblStylePr w:type="lastCol">
      <w:rPr>
        <w:b/>
        <w:color w:val="346EC2" w:themeColor="accent3" w:themeTint="FE" w:themeShade="95"/>
      </w:r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A970" w:themeColor="accent6"/>
        <w:left w:val="single" w:sz="4" w:space="0" w:color="FFA970" w:themeColor="accent6"/>
        <w:bottom w:val="single" w:sz="4" w:space="0" w:color="FFA970" w:themeColor="accent6"/>
        <w:right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FFA970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88D7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single" w:sz="4" w:space="0" w:color="8C88D7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88D7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8C88D7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EC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46EC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346EC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EA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single" w:sz="4" w:space="0" w:color="FFCEAE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D65400" w:themeColor="accent6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D65400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3684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3684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FC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46FC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7AA7B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7AA7B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970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bottom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bottom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bottom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bottom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bottom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left w:val="single" w:sz="4" w:space="0" w:color="363194" w:themeColor="accent1"/>
        <w:bottom w:val="single" w:sz="4" w:space="0" w:color="363194" w:themeColor="accent1"/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3194" w:themeColor="accent1"/>
          <w:right w:val="single" w:sz="4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3194" w:themeColor="accent1"/>
          <w:bottom w:val="single" w:sz="4" w:space="0" w:color="36319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EA591" w:themeColor="accent2" w:themeTint="97"/>
          <w:right w:val="single" w:sz="4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EA591" w:themeColor="accent2" w:themeTint="97"/>
          <w:bottom w:val="single" w:sz="4" w:space="0" w:color="EEA591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left w:val="single" w:sz="4" w:space="0" w:color="82A8DD" w:themeColor="accent3" w:themeTint="98"/>
        <w:bottom w:val="single" w:sz="4" w:space="0" w:color="82A8DD" w:themeColor="accent3" w:themeTint="98"/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2A8DD" w:themeColor="accent3" w:themeTint="98" w:fill="82A8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2A8DD" w:themeColor="accent3" w:themeTint="98"/>
          <w:right w:val="single" w:sz="4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2A8DD" w:themeColor="accent3" w:themeTint="98"/>
          <w:bottom w:val="single" w:sz="4" w:space="0" w:color="82A8DD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CCFAF" w:themeColor="accent4" w:themeTint="9A"/>
          <w:right w:val="single" w:sz="4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CCFAF" w:themeColor="accent4" w:themeTint="9A"/>
          <w:bottom w:val="single" w:sz="4" w:space="0" w:color="8CCFAF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left w:val="single" w:sz="4" w:space="0" w:color="FFCBA9" w:themeColor="accent6" w:themeTint="98"/>
        <w:bottom w:val="single" w:sz="4" w:space="0" w:color="FFCBA9" w:themeColor="accent6" w:themeTint="98"/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BA9" w:themeColor="accent6" w:themeTint="98" w:fill="FFCBA9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CBA9" w:themeColor="accent6" w:themeTint="98"/>
          <w:right w:val="single" w:sz="4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BA9" w:themeColor="accent6" w:themeTint="98"/>
          <w:bottom w:val="single" w:sz="4" w:space="0" w:color="FFCBA9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363194" w:themeColor="accent1"/>
        <w:left w:val="single" w:sz="32" w:space="0" w:color="363194" w:themeColor="accent1"/>
        <w:bottom w:val="single" w:sz="32" w:space="0" w:color="363194" w:themeColor="accent1"/>
        <w:right w:val="single" w:sz="32" w:space="0" w:color="363194" w:themeColor="accent1"/>
      </w:tblBorders>
      <w:shd w:val="clear" w:color="363194" w:themeColor="accent1" w:fill="36319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3194" w:themeColor="accent1"/>
          <w:bottom w:val="single" w:sz="12" w:space="0" w:color="FFFFFF" w:themeColor="light1"/>
        </w:tcBorders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319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319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3194" w:themeColor="accent1" w:fill="36319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EEA591" w:themeColor="accent2" w:themeTint="97"/>
        <w:left w:val="single" w:sz="32" w:space="0" w:color="EEA591" w:themeColor="accent2" w:themeTint="97"/>
        <w:bottom w:val="single" w:sz="32" w:space="0" w:color="EEA591" w:themeColor="accent2" w:themeTint="97"/>
        <w:right w:val="single" w:sz="32" w:space="0" w:color="EEA591" w:themeColor="accent2" w:themeTint="97"/>
      </w:tblBorders>
      <w:shd w:val="clear" w:color="EEA591" w:themeColor="accent2" w:themeTint="97" w:fill="EEA591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EA591" w:themeColor="accent2" w:themeTint="97"/>
          <w:bottom w:val="single" w:sz="12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EA59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EA59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2A8DD" w:themeColor="accent3" w:themeTint="98"/>
        <w:left w:val="single" w:sz="32" w:space="0" w:color="82A8DD" w:themeColor="accent3" w:themeTint="98"/>
        <w:bottom w:val="single" w:sz="32" w:space="0" w:color="82A8DD" w:themeColor="accent3" w:themeTint="98"/>
        <w:right w:val="single" w:sz="32" w:space="0" w:color="82A8DD" w:themeColor="accent3" w:themeTint="98"/>
      </w:tblBorders>
      <w:shd w:val="clear" w:color="82A8DD" w:themeColor="accent3" w:themeTint="98" w:fill="82A8DD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2A8DD" w:themeColor="accent3" w:themeTint="98"/>
          <w:bottom w:val="single" w:sz="12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2A8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2A8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CCFAF" w:themeColor="accent4" w:themeTint="9A"/>
        <w:left w:val="single" w:sz="32" w:space="0" w:color="8CCFAF" w:themeColor="accent4" w:themeTint="9A"/>
        <w:bottom w:val="single" w:sz="32" w:space="0" w:color="8CCFAF" w:themeColor="accent4" w:themeTint="9A"/>
        <w:right w:val="single" w:sz="32" w:space="0" w:color="8CCFAF" w:themeColor="accent4" w:themeTint="9A"/>
      </w:tblBorders>
      <w:shd w:val="clear" w:color="8CCFAF" w:themeColor="accent4" w:themeTint="9A" w:fill="8CCFAF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CCFAF" w:themeColor="accent4" w:themeTint="9A"/>
          <w:bottom w:val="single" w:sz="12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CCFAF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CCFAF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CBA9" w:themeColor="accent6" w:themeTint="98"/>
        <w:left w:val="single" w:sz="32" w:space="0" w:color="FFCBA9" w:themeColor="accent6" w:themeTint="98"/>
        <w:bottom w:val="single" w:sz="32" w:space="0" w:color="FFCBA9" w:themeColor="accent6" w:themeTint="98"/>
        <w:right w:val="single" w:sz="32" w:space="0" w:color="FFCBA9" w:themeColor="accent6" w:themeTint="98"/>
      </w:tblBorders>
      <w:shd w:val="clear" w:color="FFCBA9" w:themeColor="accent6" w:themeTint="98" w:fill="FFCBA9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CBA9" w:themeColor="accent6" w:themeTint="98"/>
          <w:bottom w:val="single" w:sz="12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CBA9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BA9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bottom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F1C56" w:themeColor="accent1" w:themeShade="95"/>
      </w:rPr>
      <w:tblPr/>
      <w:tcPr>
        <w:tcBorders>
          <w:bottom w:val="single" w:sz="4" w:space="0" w:color="363194" w:themeColor="accent1"/>
        </w:tcBorders>
      </w:tcPr>
    </w:tblStylePr>
    <w:tblStylePr w:type="lastRow">
      <w:rPr>
        <w:b/>
        <w:color w:val="1F1C56" w:themeColor="accent1" w:themeShade="95"/>
      </w:rPr>
      <w:tblPr/>
      <w:tcPr>
        <w:tcBorders>
          <w:top w:val="single" w:sz="4" w:space="0" w:color="363194" w:themeColor="accent1"/>
        </w:tcBorders>
      </w:tcPr>
    </w:tblStylePr>
    <w:tblStylePr w:type="firstCol">
      <w:rPr>
        <w:b/>
        <w:color w:val="1F1C56" w:themeColor="accent1" w:themeShade="95"/>
      </w:rPr>
    </w:tblStylePr>
    <w:tblStylePr w:type="lastCol">
      <w:rPr>
        <w:b/>
        <w:color w:val="1F1C56" w:themeColor="accent1" w:themeShade="95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bottom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4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bottom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2A8DD" w:themeColor="accent3" w:themeTint="98" w:themeShade="95"/>
      </w:rPr>
      <w:tblPr/>
      <w:tcPr>
        <w:tcBorders>
          <w:bottom w:val="single" w:sz="4" w:space="0" w:color="82A8DD" w:themeColor="accent3" w:themeTint="98"/>
        </w:tcBorders>
      </w:tcPr>
    </w:tblStylePr>
    <w:tblStylePr w:type="lastRow">
      <w:rPr>
        <w:b/>
        <w:color w:val="82A8DD" w:themeColor="accent3" w:themeTint="98" w:themeShade="95"/>
      </w:rPr>
      <w:tblPr/>
      <w:tcPr>
        <w:tcBorders>
          <w:top w:val="single" w:sz="4" w:space="0" w:color="82A8DD" w:themeColor="accent3" w:themeTint="98"/>
        </w:tcBorders>
      </w:tcPr>
    </w:tblStylePr>
    <w:tblStylePr w:type="firstCol">
      <w:rPr>
        <w:b/>
        <w:color w:val="82A8DD" w:themeColor="accent3" w:themeTint="98" w:themeShade="95"/>
      </w:rPr>
    </w:tblStylePr>
    <w:tblStylePr w:type="lastCol">
      <w:rPr>
        <w:b/>
        <w:color w:val="82A8DD" w:themeColor="accent3" w:themeTint="98" w:themeShade="95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bottom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4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bottom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CBA9" w:themeColor="accent6" w:themeTint="98" w:themeShade="95"/>
      </w:rPr>
      <w:tblPr/>
      <w:tcPr>
        <w:tcBorders>
          <w:bottom w:val="single" w:sz="4" w:space="0" w:color="FFCBA9" w:themeColor="accent6" w:themeTint="98"/>
        </w:tcBorders>
      </w:tcPr>
    </w:tblStylePr>
    <w:tblStylePr w:type="lastRow">
      <w:rPr>
        <w:b/>
        <w:color w:val="FFCBA9" w:themeColor="accent6" w:themeTint="98" w:themeShade="95"/>
      </w:rPr>
      <w:tblPr/>
      <w:tcPr>
        <w:tcBorders>
          <w:top w:val="single" w:sz="4" w:space="0" w:color="FFCBA9" w:themeColor="accent6" w:themeTint="98"/>
        </w:tcBorders>
      </w:tcPr>
    </w:tblStylePr>
    <w:tblStylePr w:type="firstCol">
      <w:rPr>
        <w:b/>
        <w:color w:val="FFCBA9" w:themeColor="accent6" w:themeTint="98" w:themeShade="95"/>
      </w:rPr>
    </w:tblStylePr>
    <w:tblStylePr w:type="lastCol">
      <w:rPr>
        <w:b/>
        <w:color w:val="FFCBA9" w:themeColor="accent6" w:themeTint="98" w:themeShade="95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319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single" w:sz="4" w:space="0" w:color="36319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2A8D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single" w:sz="4" w:space="0" w:color="82A8D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2A8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2A8D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BA9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single" w:sz="4" w:space="0" w:color="FFCBA9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BA9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CBA9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C727C" w:themeColor="text1" w:themeTint="A6"/>
        <w:left w:val="single" w:sz="4" w:space="0" w:color="6C727C" w:themeColor="text1" w:themeTint="A6"/>
        <w:bottom w:val="single" w:sz="4" w:space="0" w:color="6C727C" w:themeColor="text1" w:themeTint="A6"/>
        <w:right w:val="single" w:sz="4" w:space="0" w:color="6C727C" w:themeColor="text1" w:themeTint="A6"/>
        <w:insideH w:val="single" w:sz="4" w:space="0" w:color="6C727C" w:themeColor="text1" w:themeTint="A6"/>
        <w:insideV w:val="single" w:sz="4" w:space="0" w:color="6C727C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1C56" w:themeColor="accent1" w:themeShade="95"/>
        <w:left w:val="single" w:sz="4" w:space="0" w:color="1F1C56" w:themeColor="accent1" w:themeShade="95"/>
        <w:bottom w:val="single" w:sz="4" w:space="0" w:color="1F1C56" w:themeColor="accent1" w:themeShade="95"/>
        <w:right w:val="single" w:sz="4" w:space="0" w:color="1F1C56" w:themeColor="accent1" w:themeShade="95"/>
        <w:insideH w:val="single" w:sz="4" w:space="0" w:color="1F1C56" w:themeColor="accent1" w:themeShade="95"/>
        <w:insideV w:val="single" w:sz="4" w:space="0" w:color="1F1C56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63216" w:themeColor="accent2" w:themeShade="95"/>
        <w:left w:val="single" w:sz="4" w:space="0" w:color="963216" w:themeColor="accent2" w:themeShade="95"/>
        <w:bottom w:val="single" w:sz="4" w:space="0" w:color="963216" w:themeColor="accent2" w:themeShade="95"/>
        <w:right w:val="single" w:sz="4" w:space="0" w:color="963216" w:themeColor="accent2" w:themeShade="95"/>
        <w:insideH w:val="single" w:sz="4" w:space="0" w:color="963216" w:themeColor="accent2" w:themeShade="95"/>
        <w:insideV w:val="single" w:sz="4" w:space="0" w:color="963216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E4071" w:themeColor="accent3" w:themeShade="95"/>
        <w:left w:val="single" w:sz="4" w:space="0" w:color="1E4071" w:themeColor="accent3" w:themeShade="95"/>
        <w:bottom w:val="single" w:sz="4" w:space="0" w:color="1E4071" w:themeColor="accent3" w:themeShade="95"/>
        <w:right w:val="single" w:sz="4" w:space="0" w:color="1E4071" w:themeColor="accent3" w:themeShade="95"/>
        <w:insideH w:val="single" w:sz="4" w:space="0" w:color="1E4071" w:themeColor="accent3" w:themeShade="95"/>
        <w:insideV w:val="single" w:sz="4" w:space="0" w:color="1E4071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96347" w:themeColor="accent4" w:themeShade="95"/>
        <w:left w:val="single" w:sz="4" w:space="0" w:color="296347" w:themeColor="accent4" w:themeShade="95"/>
        <w:bottom w:val="single" w:sz="4" w:space="0" w:color="296347" w:themeColor="accent4" w:themeShade="95"/>
        <w:right w:val="single" w:sz="4" w:space="0" w:color="296347" w:themeColor="accent4" w:themeShade="95"/>
        <w:insideH w:val="single" w:sz="4" w:space="0" w:color="296347" w:themeColor="accent4" w:themeShade="95"/>
        <w:insideV w:val="single" w:sz="4" w:space="0" w:color="296347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5400" w:themeColor="accent6" w:themeShade="95"/>
        <w:left w:val="single" w:sz="4" w:space="0" w:color="D65400" w:themeColor="accent6" w:themeShade="95"/>
        <w:bottom w:val="single" w:sz="4" w:space="0" w:color="D65400" w:themeColor="accent6" w:themeShade="95"/>
        <w:right w:val="single" w:sz="4" w:space="0" w:color="D65400" w:themeColor="accent6" w:themeShade="95"/>
        <w:insideH w:val="single" w:sz="4" w:space="0" w:color="D65400" w:themeColor="accent6" w:themeShade="95"/>
        <w:insideV w:val="single" w:sz="4" w:space="0" w:color="D65400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DEE1" w:themeColor="text1" w:themeTint="26"/>
        <w:left w:val="single" w:sz="4" w:space="0" w:color="DDDEE1" w:themeColor="text1" w:themeTint="26"/>
        <w:bottom w:val="single" w:sz="4" w:space="0" w:color="DDDEE1" w:themeColor="text1" w:themeTint="26"/>
        <w:right w:val="single" w:sz="4" w:space="0" w:color="DDDEE1" w:themeColor="text1" w:themeTint="26"/>
        <w:insideH w:val="single" w:sz="4" w:space="0" w:color="DDDEE1" w:themeColor="text1" w:themeTint="26"/>
        <w:insideV w:val="single" w:sz="4" w:space="0" w:color="DDDEE1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929C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929C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DDEE1" w:themeColor="text1" w:themeTint="26"/>
          <w:left w:val="single" w:sz="4" w:space="0" w:color="DDDEE1" w:themeColor="text1" w:themeTint="26"/>
          <w:bottom w:val="single" w:sz="4" w:space="0" w:color="DDDEE1" w:themeColor="text1" w:themeTint="26"/>
          <w:right w:val="single" w:sz="4" w:space="0" w:color="DDDEE1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319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319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EA59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2A8D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2A8D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CCFAF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CBA9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CBA9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5B9BD5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 светлая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pacing w:val="-6"/>
      <w:szCs w:val="20"/>
    </w:rPr>
  </w:style>
  <w:style w:type="paragraph" w:customStyle="1" w:styleId="afe">
    <w:name w:val="Таблица"/>
    <w:basedOn w:val="af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Message Header"/>
    <w:basedOn w:val="a"/>
    <w:link w:val="aff0"/>
    <w:uiPriority w:val="99"/>
    <w:semiHidden/>
    <w:unhideWhenUsed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0">
    <w:name w:val="Шапка Знак"/>
    <w:basedOn w:val="a0"/>
    <w:link w:val="aff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f1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sz w:val="16"/>
      <w:szCs w:val="16"/>
    </w:rPr>
  </w:style>
  <w:style w:type="paragraph" w:styleId="aff2">
    <w:name w:val="Body Text Indent"/>
    <w:basedOn w:val="a"/>
    <w:link w:val="aff3"/>
    <w:uiPriority w:val="99"/>
    <w:semiHidden/>
    <w:unhideWhenUsed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semiHidden/>
  </w:style>
  <w:style w:type="paragraph" w:styleId="35">
    <w:name w:val="Body Text 3"/>
    <w:basedOn w:val="a"/>
    <w:link w:val="36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36319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975D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EA69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5A9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0D0B1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CAB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C37A7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EA59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46EC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CCFAF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970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  <w:insideV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C37A7" w:themeColor="accent1" w:themeTint="EA"/>
          <w:left w:val="single" w:sz="4" w:space="0" w:color="3C37A7" w:themeColor="accent1" w:themeTint="EA"/>
          <w:bottom w:val="single" w:sz="4" w:space="0" w:color="3C37A7" w:themeColor="accent1" w:themeTint="EA"/>
          <w:right w:val="single" w:sz="4" w:space="0" w:color="3C37A7" w:themeColor="accent1" w:themeTint="EA"/>
        </w:tcBorders>
        <w:shd w:val="clear" w:color="3C37A7" w:themeColor="accent1" w:themeTint="EA" w:fill="3C37A7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  <w:insideV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EA591" w:themeColor="accent2" w:themeTint="97"/>
          <w:left w:val="single" w:sz="4" w:space="0" w:color="EEA591" w:themeColor="accent2" w:themeTint="97"/>
          <w:bottom w:val="single" w:sz="4" w:space="0" w:color="EEA591" w:themeColor="accent2" w:themeTint="97"/>
          <w:right w:val="single" w:sz="4" w:space="0" w:color="EEA591" w:themeColor="accent2" w:themeTint="97"/>
        </w:tcBorders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  <w:insideV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46EC2" w:themeColor="accent3" w:themeTint="FE"/>
          <w:left w:val="single" w:sz="4" w:space="0" w:color="346EC2" w:themeColor="accent3" w:themeTint="FE"/>
          <w:bottom w:val="single" w:sz="4" w:space="0" w:color="346EC2" w:themeColor="accent3" w:themeTint="FE"/>
          <w:right w:val="single" w:sz="4" w:space="0" w:color="346EC2" w:themeColor="accent3" w:themeTint="FE"/>
        </w:tcBorders>
        <w:shd w:val="clear" w:color="346EC2" w:themeColor="accent3" w:themeTint="FE" w:fill="346EC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  <w:insideV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CCFAF" w:themeColor="accent4" w:themeTint="9A"/>
          <w:left w:val="single" w:sz="4" w:space="0" w:color="8CCFAF" w:themeColor="accent4" w:themeTint="9A"/>
          <w:bottom w:val="single" w:sz="4" w:space="0" w:color="8CCFAF" w:themeColor="accent4" w:themeTint="9A"/>
          <w:right w:val="single" w:sz="4" w:space="0" w:color="8CCFAF" w:themeColor="accent4" w:themeTint="9A"/>
        </w:tcBorders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970" w:themeColor="accent6"/>
          <w:left w:val="single" w:sz="4" w:space="0" w:color="FFA970" w:themeColor="accent6"/>
          <w:bottom w:val="single" w:sz="4" w:space="0" w:color="FFA970" w:themeColor="accent6"/>
          <w:right w:val="single" w:sz="4" w:space="0" w:color="FFA970" w:themeColor="accent6"/>
        </w:tcBorders>
        <w:shd w:val="clear" w:color="FFA970" w:themeColor="accent6" w:fill="FFA970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0CEEF" w:themeColor="accent1" w:themeTint="34" w:fill="D0CEEF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3194" w:themeColor="accent1" w:fill="36319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band1Vert">
      <w:tblPr/>
      <w:tcPr>
        <w:shd w:val="clear" w:color="9693DB" w:themeColor="accent1" w:themeTint="75" w:fill="9693DB" w:themeFill="accent1" w:themeFillTint="75"/>
      </w:tcPr>
    </w:tblStylePr>
    <w:tblStylePr w:type="band1Horz">
      <w:tblPr/>
      <w:tcPr>
        <w:shd w:val="clear" w:color="9693DB" w:themeColor="accent1" w:themeTint="75" w:fill="9693D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9E1DA" w:themeColor="accent2" w:themeTint="32" w:fill="F9E1DA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36846" w:themeColor="accent2" w:fill="E3684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band1Vert">
      <w:tblPr/>
      <w:tcPr>
        <w:shd w:val="clear" w:color="F2B9A9" w:themeColor="accent2" w:themeTint="75" w:fill="F2B9A9" w:themeFill="accent2" w:themeFillTint="75"/>
      </w:tcPr>
    </w:tblStylePr>
    <w:tblStylePr w:type="band1Horz">
      <w:tblPr/>
      <w:tcPr>
        <w:shd w:val="clear" w:color="F2B9A9" w:themeColor="accent2" w:themeTint="75" w:fill="F2B9A9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1F3" w:themeColor="accent3" w:themeTint="34" w:fill="D4E1F3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46FC2" w:themeColor="accent3" w:fill="346FC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band1Vert">
      <w:tblPr/>
      <w:tcPr>
        <w:shd w:val="clear" w:color="9FBCE5" w:themeColor="accent3" w:themeTint="75" w:fill="9FBCE5" w:themeFill="accent3" w:themeFillTint="75"/>
      </w:tcPr>
    </w:tblStylePr>
    <w:tblStylePr w:type="band1Horz">
      <w:tblPr/>
      <w:tcPr>
        <w:shd w:val="clear" w:color="9FBCE5" w:themeColor="accent3" w:themeTint="75" w:fill="9FBCE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EE3" w:themeColor="accent4" w:themeTint="34" w:fill="D8EEE3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7AA7B" w:themeColor="accent4" w:fill="47AA7B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band1Vert">
      <w:tblPr/>
      <w:tcPr>
        <w:shd w:val="clear" w:color="A7DAC2" w:themeColor="accent4" w:themeTint="75" w:fill="A7DAC2" w:themeFill="accent4" w:themeFillTint="75"/>
      </w:tcPr>
    </w:tblStylePr>
    <w:tblStylePr w:type="band1Horz">
      <w:tblPr/>
      <w:tcPr>
        <w:shd w:val="clear" w:color="A7DAC2" w:themeColor="accent4" w:themeTint="75" w:fill="A7DAC2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DE1" w:themeColor="accent6" w:themeTint="34" w:fill="FFEDE1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A970" w:themeColor="accent6" w:fill="FFA970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band1Vert">
      <w:tblPr/>
      <w:tcPr>
        <w:shd w:val="clear" w:color="FFD7BD" w:themeColor="accent6" w:themeTint="75" w:fill="FFD7BD" w:themeFill="accent6" w:themeFillTint="75"/>
      </w:tcPr>
    </w:tblStylePr>
    <w:tblStylePr w:type="band1Horz">
      <w:tblPr/>
      <w:tcPr>
        <w:shd w:val="clear" w:color="FFD7BD" w:themeColor="accent6" w:themeTint="75" w:fill="FFD7BD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88D7" w:themeColor="accent1" w:themeTint="80"/>
        <w:left w:val="single" w:sz="4" w:space="0" w:color="8C88D7" w:themeColor="accent1" w:themeTint="80"/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88D7" w:themeColor="accent1" w:themeTint="80" w:themeShade="95"/>
      </w:rPr>
      <w:tblPr/>
      <w:tcPr>
        <w:tcBorders>
          <w:bottom w:val="single" w:sz="12" w:space="0" w:color="8C88D7" w:themeColor="accent1" w:themeTint="80"/>
        </w:tcBorders>
      </w:tcPr>
    </w:tblStylePr>
    <w:tblStylePr w:type="lastRow">
      <w:rPr>
        <w:b/>
        <w:color w:val="8C88D7" w:themeColor="accent1" w:themeTint="80" w:themeShade="95"/>
      </w:rPr>
    </w:tblStylePr>
    <w:tblStylePr w:type="firstCol">
      <w:rPr>
        <w:b/>
        <w:color w:val="8C88D7" w:themeColor="accent1" w:themeTint="80" w:themeShade="95"/>
      </w:rPr>
    </w:tblStylePr>
    <w:tblStylePr w:type="lastCol">
      <w:rPr>
        <w:b/>
        <w:color w:val="8C88D7" w:themeColor="accent1" w:themeTint="80" w:themeShade="95"/>
      </w:r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46EC2" w:themeColor="accent3" w:themeTint="FE"/>
        <w:left w:val="single" w:sz="4" w:space="0" w:color="346EC2" w:themeColor="accent3" w:themeTint="FE"/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46EC2" w:themeColor="accent3" w:themeTint="FE" w:themeShade="95"/>
      </w:rPr>
      <w:tblPr/>
      <w:tcPr>
        <w:tcBorders>
          <w:bottom w:val="single" w:sz="12" w:space="0" w:color="346EC2" w:themeColor="accent3" w:themeTint="FE"/>
        </w:tcBorders>
      </w:tcPr>
    </w:tblStylePr>
    <w:tblStylePr w:type="lastRow">
      <w:rPr>
        <w:b/>
        <w:color w:val="346EC2" w:themeColor="accent3" w:themeTint="FE" w:themeShade="95"/>
      </w:rPr>
    </w:tblStylePr>
    <w:tblStylePr w:type="firstCol">
      <w:rPr>
        <w:b/>
        <w:color w:val="346EC2" w:themeColor="accent3" w:themeTint="FE" w:themeShade="95"/>
      </w:rPr>
    </w:tblStylePr>
    <w:tblStylePr w:type="lastCol">
      <w:rPr>
        <w:b/>
        <w:color w:val="346EC2" w:themeColor="accent3" w:themeTint="FE" w:themeShade="95"/>
      </w:r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A970" w:themeColor="accent6"/>
        <w:left w:val="single" w:sz="4" w:space="0" w:color="FFA970" w:themeColor="accent6"/>
        <w:bottom w:val="single" w:sz="4" w:space="0" w:color="FFA970" w:themeColor="accent6"/>
        <w:right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FFA970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88D7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single" w:sz="4" w:space="0" w:color="8C88D7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88D7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8C88D7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EC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46EC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346EC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EA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single" w:sz="4" w:space="0" w:color="FFCEAE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D65400" w:themeColor="accent6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D65400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3684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3684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FC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46FC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7AA7B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7AA7B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970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bottom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bottom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bottom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bottom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bottom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left w:val="single" w:sz="4" w:space="0" w:color="363194" w:themeColor="accent1"/>
        <w:bottom w:val="single" w:sz="4" w:space="0" w:color="363194" w:themeColor="accent1"/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3194" w:themeColor="accent1"/>
          <w:right w:val="single" w:sz="4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3194" w:themeColor="accent1"/>
          <w:bottom w:val="single" w:sz="4" w:space="0" w:color="36319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EA591" w:themeColor="accent2" w:themeTint="97"/>
          <w:right w:val="single" w:sz="4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EA591" w:themeColor="accent2" w:themeTint="97"/>
          <w:bottom w:val="single" w:sz="4" w:space="0" w:color="EEA591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left w:val="single" w:sz="4" w:space="0" w:color="82A8DD" w:themeColor="accent3" w:themeTint="98"/>
        <w:bottom w:val="single" w:sz="4" w:space="0" w:color="82A8DD" w:themeColor="accent3" w:themeTint="98"/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2A8DD" w:themeColor="accent3" w:themeTint="98" w:fill="82A8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2A8DD" w:themeColor="accent3" w:themeTint="98"/>
          <w:right w:val="single" w:sz="4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2A8DD" w:themeColor="accent3" w:themeTint="98"/>
          <w:bottom w:val="single" w:sz="4" w:space="0" w:color="82A8DD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CCFAF" w:themeColor="accent4" w:themeTint="9A"/>
          <w:right w:val="single" w:sz="4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CCFAF" w:themeColor="accent4" w:themeTint="9A"/>
          <w:bottom w:val="single" w:sz="4" w:space="0" w:color="8CCFAF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left w:val="single" w:sz="4" w:space="0" w:color="FFCBA9" w:themeColor="accent6" w:themeTint="98"/>
        <w:bottom w:val="single" w:sz="4" w:space="0" w:color="FFCBA9" w:themeColor="accent6" w:themeTint="98"/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BA9" w:themeColor="accent6" w:themeTint="98" w:fill="FFCBA9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CBA9" w:themeColor="accent6" w:themeTint="98"/>
          <w:right w:val="single" w:sz="4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BA9" w:themeColor="accent6" w:themeTint="98"/>
          <w:bottom w:val="single" w:sz="4" w:space="0" w:color="FFCBA9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363194" w:themeColor="accent1"/>
        <w:left w:val="single" w:sz="32" w:space="0" w:color="363194" w:themeColor="accent1"/>
        <w:bottom w:val="single" w:sz="32" w:space="0" w:color="363194" w:themeColor="accent1"/>
        <w:right w:val="single" w:sz="32" w:space="0" w:color="363194" w:themeColor="accent1"/>
      </w:tblBorders>
      <w:shd w:val="clear" w:color="363194" w:themeColor="accent1" w:fill="36319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3194" w:themeColor="accent1"/>
          <w:bottom w:val="single" w:sz="12" w:space="0" w:color="FFFFFF" w:themeColor="light1"/>
        </w:tcBorders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319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319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3194" w:themeColor="accent1" w:fill="36319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EEA591" w:themeColor="accent2" w:themeTint="97"/>
        <w:left w:val="single" w:sz="32" w:space="0" w:color="EEA591" w:themeColor="accent2" w:themeTint="97"/>
        <w:bottom w:val="single" w:sz="32" w:space="0" w:color="EEA591" w:themeColor="accent2" w:themeTint="97"/>
        <w:right w:val="single" w:sz="32" w:space="0" w:color="EEA591" w:themeColor="accent2" w:themeTint="97"/>
      </w:tblBorders>
      <w:shd w:val="clear" w:color="EEA591" w:themeColor="accent2" w:themeTint="97" w:fill="EEA591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EA591" w:themeColor="accent2" w:themeTint="97"/>
          <w:bottom w:val="single" w:sz="12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EA59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EA59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2A8DD" w:themeColor="accent3" w:themeTint="98"/>
        <w:left w:val="single" w:sz="32" w:space="0" w:color="82A8DD" w:themeColor="accent3" w:themeTint="98"/>
        <w:bottom w:val="single" w:sz="32" w:space="0" w:color="82A8DD" w:themeColor="accent3" w:themeTint="98"/>
        <w:right w:val="single" w:sz="32" w:space="0" w:color="82A8DD" w:themeColor="accent3" w:themeTint="98"/>
      </w:tblBorders>
      <w:shd w:val="clear" w:color="82A8DD" w:themeColor="accent3" w:themeTint="98" w:fill="82A8DD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2A8DD" w:themeColor="accent3" w:themeTint="98"/>
          <w:bottom w:val="single" w:sz="12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2A8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2A8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CCFAF" w:themeColor="accent4" w:themeTint="9A"/>
        <w:left w:val="single" w:sz="32" w:space="0" w:color="8CCFAF" w:themeColor="accent4" w:themeTint="9A"/>
        <w:bottom w:val="single" w:sz="32" w:space="0" w:color="8CCFAF" w:themeColor="accent4" w:themeTint="9A"/>
        <w:right w:val="single" w:sz="32" w:space="0" w:color="8CCFAF" w:themeColor="accent4" w:themeTint="9A"/>
      </w:tblBorders>
      <w:shd w:val="clear" w:color="8CCFAF" w:themeColor="accent4" w:themeTint="9A" w:fill="8CCFAF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CCFAF" w:themeColor="accent4" w:themeTint="9A"/>
          <w:bottom w:val="single" w:sz="12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CCFAF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CCFAF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CBA9" w:themeColor="accent6" w:themeTint="98"/>
        <w:left w:val="single" w:sz="32" w:space="0" w:color="FFCBA9" w:themeColor="accent6" w:themeTint="98"/>
        <w:bottom w:val="single" w:sz="32" w:space="0" w:color="FFCBA9" w:themeColor="accent6" w:themeTint="98"/>
        <w:right w:val="single" w:sz="32" w:space="0" w:color="FFCBA9" w:themeColor="accent6" w:themeTint="98"/>
      </w:tblBorders>
      <w:shd w:val="clear" w:color="FFCBA9" w:themeColor="accent6" w:themeTint="98" w:fill="FFCBA9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CBA9" w:themeColor="accent6" w:themeTint="98"/>
          <w:bottom w:val="single" w:sz="12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CBA9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BA9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bottom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F1C56" w:themeColor="accent1" w:themeShade="95"/>
      </w:rPr>
      <w:tblPr/>
      <w:tcPr>
        <w:tcBorders>
          <w:bottom w:val="single" w:sz="4" w:space="0" w:color="363194" w:themeColor="accent1"/>
        </w:tcBorders>
      </w:tcPr>
    </w:tblStylePr>
    <w:tblStylePr w:type="lastRow">
      <w:rPr>
        <w:b/>
        <w:color w:val="1F1C56" w:themeColor="accent1" w:themeShade="95"/>
      </w:rPr>
      <w:tblPr/>
      <w:tcPr>
        <w:tcBorders>
          <w:top w:val="single" w:sz="4" w:space="0" w:color="363194" w:themeColor="accent1"/>
        </w:tcBorders>
      </w:tcPr>
    </w:tblStylePr>
    <w:tblStylePr w:type="firstCol">
      <w:rPr>
        <w:b/>
        <w:color w:val="1F1C56" w:themeColor="accent1" w:themeShade="95"/>
      </w:rPr>
    </w:tblStylePr>
    <w:tblStylePr w:type="lastCol">
      <w:rPr>
        <w:b/>
        <w:color w:val="1F1C56" w:themeColor="accent1" w:themeShade="95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bottom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4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bottom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2A8DD" w:themeColor="accent3" w:themeTint="98" w:themeShade="95"/>
      </w:rPr>
      <w:tblPr/>
      <w:tcPr>
        <w:tcBorders>
          <w:bottom w:val="single" w:sz="4" w:space="0" w:color="82A8DD" w:themeColor="accent3" w:themeTint="98"/>
        </w:tcBorders>
      </w:tcPr>
    </w:tblStylePr>
    <w:tblStylePr w:type="lastRow">
      <w:rPr>
        <w:b/>
        <w:color w:val="82A8DD" w:themeColor="accent3" w:themeTint="98" w:themeShade="95"/>
      </w:rPr>
      <w:tblPr/>
      <w:tcPr>
        <w:tcBorders>
          <w:top w:val="single" w:sz="4" w:space="0" w:color="82A8DD" w:themeColor="accent3" w:themeTint="98"/>
        </w:tcBorders>
      </w:tcPr>
    </w:tblStylePr>
    <w:tblStylePr w:type="firstCol">
      <w:rPr>
        <w:b/>
        <w:color w:val="82A8DD" w:themeColor="accent3" w:themeTint="98" w:themeShade="95"/>
      </w:rPr>
    </w:tblStylePr>
    <w:tblStylePr w:type="lastCol">
      <w:rPr>
        <w:b/>
        <w:color w:val="82A8DD" w:themeColor="accent3" w:themeTint="98" w:themeShade="95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bottom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4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bottom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CBA9" w:themeColor="accent6" w:themeTint="98" w:themeShade="95"/>
      </w:rPr>
      <w:tblPr/>
      <w:tcPr>
        <w:tcBorders>
          <w:bottom w:val="single" w:sz="4" w:space="0" w:color="FFCBA9" w:themeColor="accent6" w:themeTint="98"/>
        </w:tcBorders>
      </w:tcPr>
    </w:tblStylePr>
    <w:tblStylePr w:type="lastRow">
      <w:rPr>
        <w:b/>
        <w:color w:val="FFCBA9" w:themeColor="accent6" w:themeTint="98" w:themeShade="95"/>
      </w:rPr>
      <w:tblPr/>
      <w:tcPr>
        <w:tcBorders>
          <w:top w:val="single" w:sz="4" w:space="0" w:color="FFCBA9" w:themeColor="accent6" w:themeTint="98"/>
        </w:tcBorders>
      </w:tcPr>
    </w:tblStylePr>
    <w:tblStylePr w:type="firstCol">
      <w:rPr>
        <w:b/>
        <w:color w:val="FFCBA9" w:themeColor="accent6" w:themeTint="98" w:themeShade="95"/>
      </w:rPr>
    </w:tblStylePr>
    <w:tblStylePr w:type="lastCol">
      <w:rPr>
        <w:b/>
        <w:color w:val="FFCBA9" w:themeColor="accent6" w:themeTint="98" w:themeShade="95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319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single" w:sz="4" w:space="0" w:color="36319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2A8D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single" w:sz="4" w:space="0" w:color="82A8D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2A8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2A8D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BA9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single" w:sz="4" w:space="0" w:color="FFCBA9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BA9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CBA9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C727C" w:themeColor="text1" w:themeTint="A6"/>
        <w:left w:val="single" w:sz="4" w:space="0" w:color="6C727C" w:themeColor="text1" w:themeTint="A6"/>
        <w:bottom w:val="single" w:sz="4" w:space="0" w:color="6C727C" w:themeColor="text1" w:themeTint="A6"/>
        <w:right w:val="single" w:sz="4" w:space="0" w:color="6C727C" w:themeColor="text1" w:themeTint="A6"/>
        <w:insideH w:val="single" w:sz="4" w:space="0" w:color="6C727C" w:themeColor="text1" w:themeTint="A6"/>
        <w:insideV w:val="single" w:sz="4" w:space="0" w:color="6C727C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1C56" w:themeColor="accent1" w:themeShade="95"/>
        <w:left w:val="single" w:sz="4" w:space="0" w:color="1F1C56" w:themeColor="accent1" w:themeShade="95"/>
        <w:bottom w:val="single" w:sz="4" w:space="0" w:color="1F1C56" w:themeColor="accent1" w:themeShade="95"/>
        <w:right w:val="single" w:sz="4" w:space="0" w:color="1F1C56" w:themeColor="accent1" w:themeShade="95"/>
        <w:insideH w:val="single" w:sz="4" w:space="0" w:color="1F1C56" w:themeColor="accent1" w:themeShade="95"/>
        <w:insideV w:val="single" w:sz="4" w:space="0" w:color="1F1C56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63216" w:themeColor="accent2" w:themeShade="95"/>
        <w:left w:val="single" w:sz="4" w:space="0" w:color="963216" w:themeColor="accent2" w:themeShade="95"/>
        <w:bottom w:val="single" w:sz="4" w:space="0" w:color="963216" w:themeColor="accent2" w:themeShade="95"/>
        <w:right w:val="single" w:sz="4" w:space="0" w:color="963216" w:themeColor="accent2" w:themeShade="95"/>
        <w:insideH w:val="single" w:sz="4" w:space="0" w:color="963216" w:themeColor="accent2" w:themeShade="95"/>
        <w:insideV w:val="single" w:sz="4" w:space="0" w:color="963216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E4071" w:themeColor="accent3" w:themeShade="95"/>
        <w:left w:val="single" w:sz="4" w:space="0" w:color="1E4071" w:themeColor="accent3" w:themeShade="95"/>
        <w:bottom w:val="single" w:sz="4" w:space="0" w:color="1E4071" w:themeColor="accent3" w:themeShade="95"/>
        <w:right w:val="single" w:sz="4" w:space="0" w:color="1E4071" w:themeColor="accent3" w:themeShade="95"/>
        <w:insideH w:val="single" w:sz="4" w:space="0" w:color="1E4071" w:themeColor="accent3" w:themeShade="95"/>
        <w:insideV w:val="single" w:sz="4" w:space="0" w:color="1E4071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96347" w:themeColor="accent4" w:themeShade="95"/>
        <w:left w:val="single" w:sz="4" w:space="0" w:color="296347" w:themeColor="accent4" w:themeShade="95"/>
        <w:bottom w:val="single" w:sz="4" w:space="0" w:color="296347" w:themeColor="accent4" w:themeShade="95"/>
        <w:right w:val="single" w:sz="4" w:space="0" w:color="296347" w:themeColor="accent4" w:themeShade="95"/>
        <w:insideH w:val="single" w:sz="4" w:space="0" w:color="296347" w:themeColor="accent4" w:themeShade="95"/>
        <w:insideV w:val="single" w:sz="4" w:space="0" w:color="296347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5400" w:themeColor="accent6" w:themeShade="95"/>
        <w:left w:val="single" w:sz="4" w:space="0" w:color="D65400" w:themeColor="accent6" w:themeShade="95"/>
        <w:bottom w:val="single" w:sz="4" w:space="0" w:color="D65400" w:themeColor="accent6" w:themeShade="95"/>
        <w:right w:val="single" w:sz="4" w:space="0" w:color="D65400" w:themeColor="accent6" w:themeShade="95"/>
        <w:insideH w:val="single" w:sz="4" w:space="0" w:color="D65400" w:themeColor="accent6" w:themeShade="95"/>
        <w:insideV w:val="single" w:sz="4" w:space="0" w:color="D65400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DEE1" w:themeColor="text1" w:themeTint="26"/>
        <w:left w:val="single" w:sz="4" w:space="0" w:color="DDDEE1" w:themeColor="text1" w:themeTint="26"/>
        <w:bottom w:val="single" w:sz="4" w:space="0" w:color="DDDEE1" w:themeColor="text1" w:themeTint="26"/>
        <w:right w:val="single" w:sz="4" w:space="0" w:color="DDDEE1" w:themeColor="text1" w:themeTint="26"/>
        <w:insideH w:val="single" w:sz="4" w:space="0" w:color="DDDEE1" w:themeColor="text1" w:themeTint="26"/>
        <w:insideV w:val="single" w:sz="4" w:space="0" w:color="DDDEE1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929C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929C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DDEE1" w:themeColor="text1" w:themeTint="26"/>
          <w:left w:val="single" w:sz="4" w:space="0" w:color="DDDEE1" w:themeColor="text1" w:themeTint="26"/>
          <w:bottom w:val="single" w:sz="4" w:space="0" w:color="DDDEE1" w:themeColor="text1" w:themeTint="26"/>
          <w:right w:val="single" w:sz="4" w:space="0" w:color="DDDEE1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319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319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EA59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2A8D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2A8D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CCFAF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CBA9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CBA9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5B9BD5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 светлая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pacing w:val="-6"/>
      <w:szCs w:val="20"/>
    </w:rPr>
  </w:style>
  <w:style w:type="paragraph" w:customStyle="1" w:styleId="afe">
    <w:name w:val="Таблица"/>
    <w:basedOn w:val="af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Message Header"/>
    <w:basedOn w:val="a"/>
    <w:link w:val="aff0"/>
    <w:uiPriority w:val="99"/>
    <w:semiHidden/>
    <w:unhideWhenUsed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0">
    <w:name w:val="Шапка Знак"/>
    <w:basedOn w:val="a0"/>
    <w:link w:val="aff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f1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sz w:val="16"/>
      <w:szCs w:val="16"/>
    </w:rPr>
  </w:style>
  <w:style w:type="paragraph" w:styleId="aff2">
    <w:name w:val="Body Text Indent"/>
    <w:basedOn w:val="a"/>
    <w:link w:val="aff3"/>
    <w:uiPriority w:val="99"/>
    <w:semiHidden/>
    <w:unhideWhenUsed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semiHidden/>
  </w:style>
  <w:style w:type="paragraph" w:styleId="35">
    <w:name w:val="Body Text 3"/>
    <w:basedOn w:val="a"/>
    <w:link w:val="36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9EF7E-0D3D-4A17-80DB-47A4FCF1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13</Pages>
  <Words>4262</Words>
  <Characters>24295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87</cp:revision>
  <dcterms:created xsi:type="dcterms:W3CDTF">2024-05-28T12:10:00Z</dcterms:created>
  <dcterms:modified xsi:type="dcterms:W3CDTF">2025-01-10T10:49:00Z</dcterms:modified>
</cp:coreProperties>
</file>