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DF7277">
        <w:rPr>
          <w:szCs w:val="24"/>
        </w:rPr>
        <w:t>ма</w:t>
      </w:r>
      <w:r w:rsidR="00AD721B">
        <w:rPr>
          <w:szCs w:val="24"/>
        </w:rPr>
        <w:t>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DF7277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DF7277">
        <w:rPr>
          <w:szCs w:val="24"/>
        </w:rPr>
        <w:t>66361,8</w:t>
      </w:r>
      <w:r w:rsidR="00AD721B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DF7277">
        <w:rPr>
          <w:szCs w:val="24"/>
        </w:rPr>
        <w:t>86,8</w:t>
      </w:r>
      <w:r>
        <w:rPr>
          <w:szCs w:val="24"/>
        </w:rPr>
        <w:t xml:space="preserve">% (в сопоставимых ценах) к </w:t>
      </w:r>
      <w:r w:rsidR="00DF7277">
        <w:rPr>
          <w:szCs w:val="24"/>
        </w:rPr>
        <w:t>ма</w:t>
      </w:r>
      <w:r w:rsidR="00AD721B">
        <w:rPr>
          <w:szCs w:val="24"/>
        </w:rPr>
        <w:t>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DF7277">
        <w:rPr>
          <w:szCs w:val="24"/>
        </w:rPr>
        <w:t xml:space="preserve"> </w:t>
      </w:r>
      <w:r w:rsidR="008447EF">
        <w:rPr>
          <w:szCs w:val="24"/>
        </w:rPr>
        <w:t>в январе-</w:t>
      </w:r>
      <w:r w:rsidR="00DF7277">
        <w:rPr>
          <w:szCs w:val="24"/>
        </w:rPr>
        <w:t>ма</w:t>
      </w:r>
      <w:r w:rsidR="00AD721B">
        <w:rPr>
          <w:szCs w:val="24"/>
        </w:rPr>
        <w:t>е</w:t>
      </w:r>
      <w:r w:rsidR="008447EF">
        <w:rPr>
          <w:szCs w:val="24"/>
        </w:rPr>
        <w:t xml:space="preserve"> 2022 года – </w:t>
      </w:r>
      <w:r w:rsidR="00DF7277">
        <w:rPr>
          <w:szCs w:val="24"/>
        </w:rPr>
        <w:t>330688,0</w:t>
      </w:r>
      <w:r w:rsidR="008447EF">
        <w:rPr>
          <w:szCs w:val="24"/>
        </w:rPr>
        <w:t xml:space="preserve"> млн рублей, или </w:t>
      </w:r>
      <w:r w:rsidR="00AD721B">
        <w:rPr>
          <w:szCs w:val="24"/>
        </w:rPr>
        <w:t>9</w:t>
      </w:r>
      <w:r w:rsidR="00DF7277">
        <w:rPr>
          <w:szCs w:val="24"/>
        </w:rPr>
        <w:t>6</w:t>
      </w:r>
      <w:r w:rsidR="00AD721B">
        <w:rPr>
          <w:szCs w:val="24"/>
        </w:rPr>
        <w:t>,</w:t>
      </w:r>
      <w:r w:rsidR="00DF7277">
        <w:rPr>
          <w:szCs w:val="24"/>
        </w:rPr>
        <w:t>0</w:t>
      </w:r>
      <w:r w:rsidR="008447EF">
        <w:rPr>
          <w:szCs w:val="24"/>
        </w:rPr>
        <w:t>% к соответствующему периоду предыдущего года.</w:t>
      </w:r>
    </w:p>
    <w:p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49617B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168693,8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62881,7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115,4</w:t>
            </w:r>
          </w:p>
        </w:tc>
      </w:tr>
      <w:tr w:rsidR="00DF7277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DF7277" w:rsidRDefault="00DF7277" w:rsidP="00DF7277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DF7277">
              <w:rPr>
                <w:rFonts w:ascii="Times New Roman" w:hAnsi="Times New Roman"/>
                <w:b/>
                <w:sz w:val="24"/>
              </w:rPr>
              <w:t>Январь-май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DF7277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293203,8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DF7277" w:rsidRDefault="00DF7277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DF7277" w:rsidRDefault="00EB0CFD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356855,1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65186,5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552138,6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</w:tr>
      <w:tr w:rsidR="00CE0489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77918,6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757582,5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F7277" w:rsidRDefault="00AD22E0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  <w:proofErr w:type="gramStart"/>
            <w:r w:rsidR="00DF7277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DF7277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8447EF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DF7277" w:rsidRDefault="008447EF" w:rsidP="00D90546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  <w:proofErr w:type="gramStart"/>
            <w:r w:rsidR="00DF7277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DF7277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63470,3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936CF2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DF7277" w:rsidRDefault="00936CF2" w:rsidP="00D90546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  <w:proofErr w:type="gramStart"/>
            <w:r w:rsidR="00DF7277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DF7277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73120,4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</w:tr>
      <w:tr w:rsidR="008447EF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DF7277" w:rsidRDefault="00936CF2" w:rsidP="00D90546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  <w:r w:rsidR="00DF7277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199942,2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103,5</w:t>
            </w:r>
          </w:p>
        </w:tc>
      </w:tr>
      <w:tr w:rsidR="00AD721B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DF7277" w:rsidRDefault="00AD721B" w:rsidP="004E7231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  <w:proofErr w:type="gramStart"/>
            <w:r w:rsidR="00DF7277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DF7277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64383,9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85,5</w:t>
            </w:r>
          </w:p>
        </w:tc>
      </w:tr>
      <w:tr w:rsidR="00DF7277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DF7277" w:rsidP="004E7231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66361,8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86,8</w:t>
            </w:r>
          </w:p>
        </w:tc>
      </w:tr>
      <w:tr w:rsidR="00AD721B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Pr="00AD721B" w:rsidRDefault="00AD721B" w:rsidP="00DF7277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AD721B">
              <w:rPr>
                <w:rFonts w:ascii="Times New Roman" w:hAnsi="Times New Roman"/>
                <w:b/>
                <w:sz w:val="24"/>
              </w:rPr>
              <w:t>Январь-</w:t>
            </w:r>
            <w:r w:rsidR="00DF7277">
              <w:rPr>
                <w:rFonts w:ascii="Times New Roman" w:hAnsi="Times New Roman"/>
                <w:b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330688,0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Pr="008447EF" w:rsidRDefault="003166B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721B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96,0</w:t>
            </w:r>
          </w:p>
        </w:tc>
      </w:tr>
    </w:tbl>
    <w:p w:rsidR="00100F0C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066FE4" w:rsidRDefault="00066FE4" w:rsidP="00066FE4">
      <w:pPr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 w:rsidRPr="00F62B60">
        <w:rPr>
          <w:sz w:val="18"/>
          <w:szCs w:val="18"/>
        </w:rPr>
        <w:t xml:space="preserve"> Данные уточнены по итогам ежеквартальных обследований </w:t>
      </w:r>
      <w:r>
        <w:rPr>
          <w:sz w:val="18"/>
          <w:szCs w:val="18"/>
        </w:rPr>
        <w:t>субъектов малого предпринимательства</w:t>
      </w:r>
      <w:r w:rsidRPr="00F62B60">
        <w:rPr>
          <w:sz w:val="18"/>
          <w:szCs w:val="18"/>
        </w:rPr>
        <w:t xml:space="preserve">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</w:t>
      </w:r>
      <w:r>
        <w:rPr>
          <w:sz w:val="18"/>
          <w:szCs w:val="18"/>
        </w:rPr>
        <w:t>.</w:t>
      </w:r>
    </w:p>
    <w:p w:rsidR="00066FE4" w:rsidRPr="00615950" w:rsidRDefault="00066FE4" w:rsidP="00430BA2">
      <w:pPr>
        <w:spacing w:before="40" w:line="192" w:lineRule="auto"/>
        <w:rPr>
          <w:sz w:val="18"/>
          <w:szCs w:val="18"/>
        </w:rPr>
      </w:pPr>
    </w:p>
    <w:p w:rsidR="00AD721B" w:rsidRDefault="00D2385D" w:rsidP="00AD721B">
      <w:pPr>
        <w:suppressAutoHyphens/>
        <w:ind w:right="-142" w:firstLine="720"/>
      </w:pPr>
      <w:r w:rsidRPr="0089204F">
        <w:t>В</w:t>
      </w:r>
      <w:r w:rsidR="00AD721B">
        <w:t xml:space="preserve"> </w:t>
      </w:r>
      <w:r w:rsidR="004B492C">
        <w:t>ма</w:t>
      </w:r>
      <w:r w:rsidR="0049617B">
        <w:t xml:space="preserve">е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4B492C">
        <w:t xml:space="preserve"> </w:t>
      </w:r>
      <w:r w:rsidRPr="0089204F">
        <w:t>оборот розничной торговли на</w:t>
      </w:r>
      <w:r>
        <w:t xml:space="preserve"> 9</w:t>
      </w:r>
      <w:r w:rsidR="00AD721B">
        <w:t>6</w:t>
      </w:r>
      <w:r>
        <w:t>,</w:t>
      </w:r>
      <w:r w:rsidR="004B492C">
        <w:t>8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4B492C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4B492C">
        <w:t xml:space="preserve"> </w:t>
      </w:r>
      <w:r w:rsidR="00AD721B">
        <w:t>3</w:t>
      </w:r>
      <w:r>
        <w:t>,</w:t>
      </w:r>
      <w:r w:rsidR="004B492C">
        <w:t>2</w:t>
      </w:r>
      <w:r w:rsidRPr="00D55273">
        <w:t>%</w:t>
      </w:r>
      <w:r w:rsidR="00AD721B">
        <w:t xml:space="preserve"> (в </w:t>
      </w:r>
      <w:r w:rsidR="004B492C">
        <w:t>ма</w:t>
      </w:r>
      <w:r w:rsidR="00AD721B">
        <w:t>е 2021 года – 97,3% и 2,7% соответственно).</w:t>
      </w:r>
    </w:p>
    <w:p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4B492C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CE0489" w:rsidRDefault="00CE0489" w:rsidP="00CE0489"/>
    <w:p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4B492C" w:rsidP="00D90546">
            <w:pPr>
              <w:widowControl/>
              <w:spacing w:line="240" w:lineRule="exact"/>
              <w:jc w:val="center"/>
            </w:pPr>
            <w:r>
              <w:t>Май</w:t>
            </w:r>
            <w:r w:rsidR="00AD721B">
              <w:t xml:space="preserve"> </w:t>
            </w:r>
            <w:r w:rsidR="00D90546" w:rsidRPr="002B2D5C">
              <w:t>20</w:t>
            </w:r>
            <w:r w:rsidR="00D90546"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4B492C">
              <w:t>май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4B492C">
              <w:rPr>
                <w:szCs w:val="24"/>
              </w:rPr>
              <w:t>ма</w:t>
            </w:r>
            <w:r w:rsidR="00AD721B">
              <w:rPr>
                <w:szCs w:val="24"/>
              </w:rPr>
              <w:t>ю</w:t>
            </w:r>
          </w:p>
          <w:p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4B492C" w:rsidP="00D90546">
            <w:pPr>
              <w:widowControl/>
              <w:jc w:val="center"/>
            </w:pPr>
            <w:r>
              <w:t>апрелю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4B492C" w:rsidP="00D90546">
            <w:pPr>
              <w:widowControl/>
              <w:jc w:val="center"/>
            </w:pPr>
            <w:r>
              <w:t>ма</w:t>
            </w:r>
            <w:r w:rsidR="00AD721B">
              <w:t>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:rsidTr="00D9054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46" w:rsidRPr="002B2D5C" w:rsidRDefault="004B492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66361,8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4B492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102,8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4B492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86,8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330688,0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96,0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64221,0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320598,8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95,8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2140,8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4B492C" w:rsidP="00D90546">
            <w:pPr>
              <w:spacing w:line="240" w:lineRule="exact"/>
              <w:ind w:right="90" w:hanging="141"/>
              <w:jc w:val="right"/>
            </w:pPr>
            <w: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4B492C">
            <w:pPr>
              <w:spacing w:line="240" w:lineRule="exact"/>
              <w:ind w:right="90"/>
              <w:jc w:val="right"/>
            </w:pPr>
            <w:r>
              <w:t>10089,2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B492C" w:rsidP="008F3C5C">
            <w:pPr>
              <w:spacing w:line="240" w:lineRule="exact"/>
              <w:ind w:right="90" w:hanging="141"/>
              <w:jc w:val="right"/>
            </w:pPr>
            <w:r>
              <w:t>102,5</w:t>
            </w:r>
          </w:p>
        </w:tc>
      </w:tr>
    </w:tbl>
    <w:p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CE0489" w:rsidRDefault="00CE0489" w:rsidP="00CE0489"/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4B492C">
        <w:rPr>
          <w:b/>
        </w:rPr>
        <w:t>ма</w:t>
      </w:r>
      <w:r w:rsidR="00FD7F6D">
        <w:rPr>
          <w:b/>
        </w:rPr>
        <w:t>е</w:t>
      </w:r>
      <w:r w:rsidR="004B492C">
        <w:rPr>
          <w:b/>
        </w:rPr>
        <w:t xml:space="preserve">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4B492C">
        <w:rPr>
          <w:b/>
        </w:rPr>
        <w:t>ма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F1334F" w:rsidRDefault="00F1334F" w:rsidP="00B46D08">
      <w:pPr>
        <w:ind w:right="-142" w:firstLine="709"/>
      </w:pPr>
    </w:p>
    <w:p w:rsidR="00FD7F6D" w:rsidRDefault="005E3CBA" w:rsidP="00FD7F6D">
      <w:pPr>
        <w:ind w:right="-142" w:firstLine="709"/>
      </w:pPr>
      <w:r>
        <w:t xml:space="preserve">В </w:t>
      </w:r>
      <w:r w:rsidR="00911E81">
        <w:t>ма</w:t>
      </w:r>
      <w:r w:rsidR="001E5F6A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911E81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911E81">
        <w:t xml:space="preserve"> </w:t>
      </w:r>
      <w:r>
        <w:t xml:space="preserve">и табачных изделий составил </w:t>
      </w:r>
      <w:r w:rsidR="00F10084">
        <w:t>51</w:t>
      </w:r>
      <w:r w:rsidR="00667FD8">
        <w:t>,</w:t>
      </w:r>
      <w:r w:rsidR="00911E81">
        <w:t>5</w:t>
      </w:r>
      <w:r>
        <w:t>%, непродовольственных товаров</w:t>
      </w:r>
      <w:r w:rsidR="00911E81">
        <w:t xml:space="preserve"> </w:t>
      </w:r>
      <w:r w:rsidR="00BB517A">
        <w:t>–</w:t>
      </w:r>
      <w:r w:rsidR="00F10084">
        <w:t xml:space="preserve"> 48</w:t>
      </w:r>
      <w:r w:rsidR="001F3EEE">
        <w:t>,</w:t>
      </w:r>
      <w:r w:rsidR="00911E81">
        <w:t>5</w:t>
      </w:r>
      <w:r>
        <w:t>%</w:t>
      </w:r>
      <w:r w:rsidR="00FD7F6D">
        <w:t xml:space="preserve"> (в </w:t>
      </w:r>
      <w:r w:rsidR="00911E81">
        <w:t>ма</w:t>
      </w:r>
      <w:r w:rsidR="00FD7F6D">
        <w:t xml:space="preserve">е 2021 года </w:t>
      </w:r>
      <w:r w:rsidR="00FD7F6D" w:rsidRPr="00EB3818">
        <w:t>– 47,</w:t>
      </w:r>
      <w:r w:rsidR="00911E81" w:rsidRPr="00EB3818">
        <w:t>8</w:t>
      </w:r>
      <w:r w:rsidR="00FD7F6D" w:rsidRPr="00EB3818">
        <w:t>% и 52,</w:t>
      </w:r>
      <w:r w:rsidR="00911E81" w:rsidRPr="00EB3818">
        <w:t>2</w:t>
      </w:r>
      <w:r w:rsidR="00FD7F6D" w:rsidRPr="00EB3818">
        <w:t>% соответственно</w:t>
      </w:r>
      <w:bookmarkStart w:id="0" w:name="_GoBack"/>
      <w:bookmarkEnd w:id="0"/>
      <w:r w:rsidR="00FD7F6D">
        <w:t>).</w:t>
      </w:r>
    </w:p>
    <w:p w:rsidR="00F1334F" w:rsidRDefault="00F1334F" w:rsidP="00F1334F"/>
    <w:p w:rsidR="00FD7F6D" w:rsidRDefault="00FD7F6D" w:rsidP="00F1334F"/>
    <w:p w:rsidR="00FD7F6D" w:rsidRDefault="00FD7F6D" w:rsidP="00F1334F"/>
    <w:p w:rsidR="00FD7F6D" w:rsidRPr="00F1334F" w:rsidRDefault="00FD7F6D" w:rsidP="00F1334F"/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FB0A0B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008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28450,7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6A8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80959,3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87734,5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29110,1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30057,4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129,0</w:t>
            </w:r>
          </w:p>
        </w:tc>
      </w:tr>
      <w:tr w:rsidR="002D67DE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2D67DE" w:rsidRDefault="002D67DE" w:rsidP="002D67DE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2D67DE">
              <w:rPr>
                <w:rFonts w:ascii="Times New Roman" w:hAnsi="Times New Roman"/>
                <w:b/>
                <w:sz w:val="24"/>
              </w:rPr>
              <w:t>Январь-май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2D67DE" w:rsidRDefault="00066FE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140126,8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2D67DE" w:rsidRDefault="002D67D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2D67DE" w:rsidRDefault="00EB0CFD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2D67DE" w:rsidRDefault="00066FE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153077,0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2D67DE" w:rsidRDefault="002D67D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2D67DE" w:rsidRDefault="00EB0CFD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157E3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170053,2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186801,9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157E39" w:rsidP="00946B0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30500,</w:t>
            </w:r>
            <w:r w:rsidR="00946B0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34686,3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260633,8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291504,8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30589,4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30204,5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33152,5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357830,5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1E6AD8" w:rsidRPr="00D55273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D67DE" w:rsidRDefault="00AD22E0" w:rsidP="00F10084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  <w:proofErr w:type="gramStart"/>
            <w:r w:rsidR="002D67DE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2D67DE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104,7</w:t>
            </w:r>
          </w:p>
        </w:tc>
      </w:tr>
      <w:tr w:rsidR="008F3C5C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2D67DE" w:rsidRDefault="008F3C5C" w:rsidP="00F10084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  <w:proofErr w:type="gramStart"/>
            <w:r w:rsidR="002D67DE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2D67DE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</w:tr>
      <w:tr w:rsidR="00936CF2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2D67DE" w:rsidRDefault="00936CF2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  <w:proofErr w:type="gramStart"/>
            <w:r w:rsidR="002D67DE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2D67DE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84B1F" w:rsidP="00F84B1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34731,6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84B1F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8F3C5C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2D67DE" w:rsidRDefault="00936CF2" w:rsidP="00936CF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  <w:r w:rsidR="002D67DE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95814,2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104,3</w:t>
            </w:r>
          </w:p>
        </w:tc>
      </w:tr>
      <w:tr w:rsidR="00F10084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2D67DE" w:rsidRDefault="00F10084" w:rsidP="004E7231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  <w:proofErr w:type="gramStart"/>
            <w:r w:rsidR="002D67DE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2D67DE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33315,1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3D542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77,9</w:t>
            </w:r>
          </w:p>
        </w:tc>
      </w:tr>
      <w:tr w:rsidR="002D67DE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65578B" w:rsidRDefault="002D67DE" w:rsidP="004E7231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34171,0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80,4</w:t>
            </w:r>
          </w:p>
        </w:tc>
      </w:tr>
      <w:tr w:rsidR="00F10084" w:rsidRPr="00E82D4D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Pr="00F10084" w:rsidRDefault="00F10084" w:rsidP="002D67DE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10084">
              <w:rPr>
                <w:rFonts w:ascii="Times New Roman" w:hAnsi="Times New Roman"/>
                <w:b/>
                <w:sz w:val="24"/>
              </w:rPr>
              <w:t>Январь-</w:t>
            </w:r>
            <w:r w:rsidR="002D67DE">
              <w:rPr>
                <w:rFonts w:ascii="Times New Roman" w:hAnsi="Times New Roman"/>
                <w:b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163300,3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Pr="008F3C5C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167387,7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Pr="008F3C5C" w:rsidRDefault="003166B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084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93,2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8F1816" w:rsidRDefault="008F1816" w:rsidP="008F1816">
      <w:pPr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 w:rsidRPr="00F62B60">
        <w:rPr>
          <w:sz w:val="18"/>
          <w:szCs w:val="18"/>
        </w:rPr>
        <w:t xml:space="preserve"> Данные уточнены по итогам ежеквартальных обследований </w:t>
      </w:r>
      <w:r>
        <w:rPr>
          <w:sz w:val="18"/>
          <w:szCs w:val="18"/>
        </w:rPr>
        <w:t>субъектов малого предпринимательства</w:t>
      </w:r>
      <w:r w:rsidRPr="00F62B60">
        <w:rPr>
          <w:sz w:val="18"/>
          <w:szCs w:val="18"/>
        </w:rPr>
        <w:t xml:space="preserve">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</w:t>
      </w:r>
      <w:r>
        <w:rPr>
          <w:sz w:val="18"/>
          <w:szCs w:val="18"/>
        </w:rPr>
        <w:t>.</w:t>
      </w: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Pr="0049617B" w:rsidRDefault="0042129C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9617B">
              <w:t>4</w:t>
            </w:r>
          </w:p>
        </w:tc>
      </w:tr>
      <w:tr w:rsidR="00EB48C0" w:rsidRPr="008178F4" w:rsidTr="00936CF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49617B" w:rsidRDefault="0049617B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936CF2" w:rsidRPr="008178F4" w:rsidTr="003166B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3166B2" w:rsidRPr="008178F4" w:rsidTr="00F84B1F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50396,6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F84B1F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51361,8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44</w:t>
            </w:r>
          </w:p>
        </w:tc>
      </w:tr>
    </w:tbl>
    <w:p w:rsidR="00BD70E3" w:rsidRPr="00450EC6" w:rsidRDefault="00BD70E3" w:rsidP="003166B2">
      <w:pPr>
        <w:spacing w:before="20"/>
        <w:rPr>
          <w:sz w:val="22"/>
        </w:rPr>
      </w:pPr>
    </w:p>
    <w:sectPr w:rsidR="00BD70E3" w:rsidRPr="00450EC6" w:rsidSect="004427A5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8E" w:rsidRDefault="00FD7C8E">
      <w:r>
        <w:separator/>
      </w:r>
    </w:p>
  </w:endnote>
  <w:endnote w:type="continuationSeparator" w:id="0">
    <w:p w:rsidR="00FD7C8E" w:rsidRDefault="00FD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</w:t>
    </w:r>
    <w:r w:rsidR="004B492C">
      <w:rPr>
        <w:b/>
        <w:i/>
        <w:sz w:val="16"/>
      </w:rPr>
      <w:t xml:space="preserve">         </w:t>
    </w:r>
    <w:r w:rsidR="004D2869">
      <w:rPr>
        <w:b/>
        <w:i/>
        <w:sz w:val="16"/>
      </w:rPr>
      <w:t xml:space="preserve">                   </w:t>
    </w:r>
    <w:r w:rsidR="004B492C">
      <w:rPr>
        <w:b/>
        <w:i/>
        <w:sz w:val="16"/>
      </w:rPr>
      <w:t xml:space="preserve">                          </w:t>
    </w:r>
    <w:r>
      <w:rPr>
        <w:b/>
        <w:i/>
        <w:sz w:val="16"/>
      </w:rPr>
      <w:t>январь-</w:t>
    </w:r>
    <w:r w:rsidR="004B492C">
      <w:rPr>
        <w:b/>
        <w:i/>
        <w:sz w:val="16"/>
      </w:rPr>
      <w:t>май</w:t>
    </w:r>
    <w:r>
      <w:rPr>
        <w:b/>
        <w:i/>
        <w:sz w:val="16"/>
      </w:rPr>
      <w:t xml:space="preserve"> 2022</w:t>
    </w:r>
  </w:p>
  <w:p w:rsidR="00157E39" w:rsidRDefault="007338DF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157E3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B3818">
      <w:rPr>
        <w:rStyle w:val="a5"/>
        <w:noProof/>
      </w:rPr>
      <w:t>32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8E" w:rsidRDefault="00FD7C8E">
      <w:r>
        <w:separator/>
      </w:r>
    </w:p>
  </w:footnote>
  <w:footnote w:type="continuationSeparator" w:id="0">
    <w:p w:rsidR="00FD7C8E" w:rsidRDefault="00FD7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75F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662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66FE4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378F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17D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6D7"/>
    <w:rsid w:val="002D603A"/>
    <w:rsid w:val="002D65AB"/>
    <w:rsid w:val="002D67DE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6B2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42B"/>
    <w:rsid w:val="003D5C61"/>
    <w:rsid w:val="003D620D"/>
    <w:rsid w:val="003E0135"/>
    <w:rsid w:val="003E11BF"/>
    <w:rsid w:val="003E23CE"/>
    <w:rsid w:val="003E2C96"/>
    <w:rsid w:val="003E3102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199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7A5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492C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2869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56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3FFD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38DF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990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1816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1E81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618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6938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21B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6AD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6975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CF7C71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277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0CFD"/>
    <w:rsid w:val="00EB118B"/>
    <w:rsid w:val="00EB14AA"/>
    <w:rsid w:val="00EB15ED"/>
    <w:rsid w:val="00EB2D7A"/>
    <w:rsid w:val="00EB3818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084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4B1F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C8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517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21,2 (18,6)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465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3,2 (2,7)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2,5 (5,4)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15,1 (11,9)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4392300173936253E-2"/>
                  <c:y val="-3.497683368357104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58,0 (61,4)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21.2</c:v>
                </c:pt>
                <c:pt idx="1">
                  <c:v>3.2</c:v>
                </c:pt>
                <c:pt idx="2">
                  <c:v>2.5</c:v>
                </c:pt>
                <c:pt idx="3">
                  <c:v>15.1</c:v>
                </c:pt>
                <c:pt idx="4">
                  <c:v>58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DE5C0-32F4-4CAF-A781-FFF3D19F7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4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135</cp:revision>
  <cp:lastPrinted>2022-04-22T08:26:00Z</cp:lastPrinted>
  <dcterms:created xsi:type="dcterms:W3CDTF">2021-05-21T10:44:00Z</dcterms:created>
  <dcterms:modified xsi:type="dcterms:W3CDTF">2022-07-05T06:13:00Z</dcterms:modified>
</cp:coreProperties>
</file>