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af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EB48C0" w:rsidRDefault="00860EF4" w:rsidP="00EB22E9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FF0FF2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FF0FF2">
        <w:rPr>
          <w:szCs w:val="24"/>
        </w:rPr>
        <w:t>июне</w:t>
      </w:r>
      <w:r w:rsidR="00EB48C0">
        <w:rPr>
          <w:szCs w:val="24"/>
        </w:rPr>
        <w:t xml:space="preserve"> 2022 года составил </w:t>
      </w:r>
      <w:r w:rsidR="00FF0FF2">
        <w:rPr>
          <w:szCs w:val="24"/>
        </w:rPr>
        <w:t xml:space="preserve">2557,5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FF0FF2">
        <w:rPr>
          <w:szCs w:val="24"/>
        </w:rPr>
        <w:t>98,1</w:t>
      </w:r>
      <w:r w:rsidR="00EB48C0">
        <w:rPr>
          <w:szCs w:val="24"/>
        </w:rPr>
        <w:t xml:space="preserve">% (в сопоставимых ценах) к </w:t>
      </w:r>
      <w:r w:rsidR="00FF0FF2">
        <w:rPr>
          <w:szCs w:val="24"/>
        </w:rPr>
        <w:t>июн</w:t>
      </w:r>
      <w:r w:rsidR="00401443">
        <w:rPr>
          <w:szCs w:val="24"/>
        </w:rPr>
        <w:t>ю</w:t>
      </w:r>
      <w:r w:rsidR="00EB48C0">
        <w:rPr>
          <w:szCs w:val="24"/>
        </w:rPr>
        <w:t xml:space="preserve"> 2021 года,</w:t>
      </w:r>
      <w:r w:rsidR="00FF0FF2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FF0FF2">
        <w:rPr>
          <w:szCs w:val="24"/>
        </w:rPr>
        <w:t>июн</w:t>
      </w:r>
      <w:r w:rsidR="00EB48C0">
        <w:rPr>
          <w:szCs w:val="24"/>
        </w:rPr>
        <w:t>е 2022 года –</w:t>
      </w:r>
      <w:r w:rsidR="00FF0FF2">
        <w:rPr>
          <w:szCs w:val="24"/>
        </w:rPr>
        <w:t xml:space="preserve"> 14793,8</w:t>
      </w:r>
      <w:r w:rsidR="00EB48C0">
        <w:rPr>
          <w:szCs w:val="24"/>
        </w:rPr>
        <w:t xml:space="preserve"> млн рублей, или </w:t>
      </w:r>
      <w:r w:rsidR="00401443">
        <w:rPr>
          <w:szCs w:val="24"/>
        </w:rPr>
        <w:t>10</w:t>
      </w:r>
      <w:r w:rsidR="00FF0FF2">
        <w:rPr>
          <w:szCs w:val="24"/>
        </w:rPr>
        <w:t>6</w:t>
      </w:r>
      <w:r w:rsidR="00401443">
        <w:rPr>
          <w:szCs w:val="24"/>
        </w:rPr>
        <w:t>,</w:t>
      </w:r>
      <w:r w:rsidR="00FF0FF2">
        <w:rPr>
          <w:szCs w:val="24"/>
        </w:rPr>
        <w:t>1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D7F38" w:rsidRDefault="00A1335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119,9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1D7F38" w:rsidRDefault="00EB48C0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2386,1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E30E7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936C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936CF2" w:rsidP="00FF0FF2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7315,4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117,1</w:t>
            </w:r>
          </w:p>
        </w:tc>
      </w:tr>
      <w:tr w:rsidR="00401443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1D7F38" w:rsidRDefault="00401443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401443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95,7</w:t>
            </w:r>
          </w:p>
        </w:tc>
      </w:tr>
      <w:tr w:rsidR="001D7F38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1A5CD3" w:rsidRDefault="001D7F38" w:rsidP="00FA695F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2492,2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F38" w:rsidRPr="00401443" w:rsidRDefault="001D7F38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</w:t>
            </w:r>
          </w:p>
        </w:tc>
      </w:tr>
      <w:tr w:rsidR="00FF0F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FF2" w:rsidRDefault="00FF0FF2" w:rsidP="00FA695F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FF2" w:rsidRDefault="00FF0F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FF2" w:rsidRDefault="00FF0F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FF2" w:rsidRDefault="00FF0F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</w:tr>
      <w:tr w:rsidR="00401443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401443" w:rsidRDefault="00FF0FF2" w:rsidP="001D7F38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FF0F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14793,8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443" w:rsidRDefault="001D7F38" w:rsidP="00FF0FF2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  <w:r w:rsidR="00FF0FF2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FF0FF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BB2955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67B" w:rsidRDefault="0044467B">
      <w:r>
        <w:separator/>
      </w:r>
    </w:p>
  </w:endnote>
  <w:endnote w:type="continuationSeparator" w:id="0">
    <w:p w:rsidR="0044467B" w:rsidRDefault="0044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</w:t>
    </w:r>
    <w:r w:rsidR="00017631">
      <w:rPr>
        <w:b/>
        <w:i/>
        <w:sz w:val="16"/>
      </w:rPr>
      <w:t xml:space="preserve">                               </w:t>
    </w:r>
    <w:r>
      <w:rPr>
        <w:b/>
        <w:i/>
        <w:sz w:val="16"/>
      </w:rPr>
      <w:t xml:space="preserve"> январь-</w:t>
    </w:r>
    <w:r w:rsidR="00017631">
      <w:rPr>
        <w:b/>
        <w:i/>
        <w:sz w:val="16"/>
      </w:rPr>
      <w:t>июнь</w:t>
    </w:r>
    <w:r>
      <w:rPr>
        <w:b/>
        <w:i/>
        <w:sz w:val="16"/>
      </w:rPr>
      <w:t xml:space="preserve"> 2022</w:t>
    </w:r>
  </w:p>
  <w:p w:rsidR="00157E39" w:rsidRDefault="0090413B">
    <w:pPr>
      <w:pStyle w:val="a4"/>
      <w:jc w:val="center"/>
      <w:rPr>
        <w:sz w:val="16"/>
      </w:rPr>
    </w:pPr>
    <w:r>
      <w:rPr>
        <w:rStyle w:val="a5"/>
      </w:rPr>
      <w:t>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67B" w:rsidRDefault="0044467B">
      <w:r>
        <w:separator/>
      </w:r>
    </w:p>
  </w:footnote>
  <w:footnote w:type="continuationSeparator" w:id="0">
    <w:p w:rsidR="0044467B" w:rsidRDefault="00444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631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6B2F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3729"/>
    <w:rsid w:val="0044467B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112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9E9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13B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64DC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0FF2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F0E53-C63D-402B-8E2C-229EA96C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Тихонова Ангелина Александровна</cp:lastModifiedBy>
  <cp:revision>13</cp:revision>
  <cp:lastPrinted>2022-04-22T08:26:00Z</cp:lastPrinted>
  <dcterms:created xsi:type="dcterms:W3CDTF">2022-04-26T07:08:00Z</dcterms:created>
  <dcterms:modified xsi:type="dcterms:W3CDTF">2022-08-02T05:55:00Z</dcterms:modified>
</cp:coreProperties>
</file>